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63" w:beforeLines="50" w:line="480" w:lineRule="auto"/>
        <w:jc w:val="center"/>
        <w:rPr>
          <w:rFonts w:ascii="黑体" w:hAnsi="宋体" w:eastAsia="黑体" w:cs="黑体"/>
          <w:sz w:val="36"/>
          <w:szCs w:val="36"/>
          <w:lang w:eastAsia="zh-CN"/>
        </w:rPr>
      </w:pPr>
      <w:r>
        <w:rPr>
          <w:rFonts w:hint="eastAsia" w:ascii="黑体" w:hAnsi="宋体" w:eastAsia="黑体" w:cs="黑体"/>
          <w:sz w:val="36"/>
          <w:szCs w:val="36"/>
          <w:lang w:eastAsia="zh-CN"/>
        </w:rPr>
        <w:t>佛山市佛山标准和卓越绩效管理促进会</w:t>
      </w:r>
    </w:p>
    <w:p>
      <w:pPr>
        <w:widowControl/>
        <w:spacing w:before="163" w:beforeLines="50" w:line="480" w:lineRule="auto"/>
        <w:jc w:val="center"/>
        <w:rPr>
          <w:rFonts w:ascii="黑体" w:hAnsi="宋体" w:eastAsia="黑体" w:cs="黑体"/>
          <w:sz w:val="36"/>
          <w:szCs w:val="36"/>
          <w:lang w:eastAsia="zh-CN"/>
        </w:rPr>
      </w:pPr>
      <w:r>
        <w:rPr>
          <w:rFonts w:hint="eastAsia" w:ascii="黑体" w:hAnsi="宋体" w:eastAsia="黑体" w:cs="黑体"/>
          <w:sz w:val="36"/>
          <w:szCs w:val="36"/>
          <w:lang w:eastAsia="zh-CN"/>
        </w:rPr>
        <w:t>《佛山标准</w:t>
      </w:r>
      <w:r>
        <w:rPr>
          <w:rFonts w:hint="eastAsia" w:ascii="黑体" w:hAnsi="宋体" w:eastAsia="黑体" w:cs="黑体"/>
          <w:sz w:val="36"/>
          <w:szCs w:val="36"/>
          <w:lang w:val="en-US" w:eastAsia="zh-CN"/>
        </w:rPr>
        <w:t xml:space="preserve"> 商用</w:t>
      </w:r>
      <w:bookmarkStart w:id="7" w:name="_GoBack"/>
      <w:bookmarkEnd w:id="7"/>
      <w:r>
        <w:rPr>
          <w:rFonts w:hint="eastAsia" w:ascii="黑体" w:hAnsi="宋体" w:eastAsia="黑体" w:cs="黑体"/>
          <w:sz w:val="36"/>
          <w:szCs w:val="36"/>
          <w:lang w:val="en-US" w:eastAsia="zh-CN"/>
        </w:rPr>
        <w:t>冷柜</w:t>
      </w:r>
      <w:r>
        <w:rPr>
          <w:rFonts w:hint="eastAsia" w:ascii="黑体" w:hAnsi="宋体" w:eastAsia="黑体" w:cs="黑体"/>
          <w:sz w:val="36"/>
          <w:szCs w:val="36"/>
          <w:lang w:eastAsia="zh-CN"/>
        </w:rPr>
        <w:t>》团体标准编制说明</w:t>
      </w:r>
    </w:p>
    <w:p>
      <w:pPr>
        <w:widowControl/>
        <w:spacing w:line="720" w:lineRule="auto"/>
        <w:rPr>
          <w:sz w:val="28"/>
          <w:szCs w:val="28"/>
          <w:lang w:eastAsia="zh-CN"/>
        </w:rPr>
      </w:pPr>
      <w:r>
        <w:rPr>
          <w:rFonts w:ascii="黑体" w:hAnsi="宋体" w:eastAsia="黑体" w:cs="黑体"/>
          <w:sz w:val="28"/>
          <w:szCs w:val="28"/>
          <w:lang w:eastAsia="zh-CN"/>
        </w:rPr>
        <w:t>1 项目背景</w:t>
      </w:r>
    </w:p>
    <w:p>
      <w:pPr>
        <w:widowControl/>
        <w:numPr>
          <w:ilvl w:val="1"/>
          <w:numId w:val="7"/>
        </w:numPr>
        <w:spacing w:line="720" w:lineRule="auto"/>
        <w:rPr>
          <w:rFonts w:hint="eastAsia" w:ascii="黑体" w:hAnsi="宋体" w:eastAsia="黑体" w:cs="黑体"/>
          <w:sz w:val="28"/>
          <w:szCs w:val="28"/>
          <w:lang w:eastAsia="zh-CN"/>
        </w:rPr>
      </w:pPr>
      <w:r>
        <w:rPr>
          <w:rFonts w:hint="eastAsia" w:ascii="黑体" w:hAnsi="宋体" w:eastAsia="黑体" w:cs="黑体"/>
          <w:sz w:val="28"/>
          <w:szCs w:val="28"/>
          <w:lang w:eastAsia="zh-CN"/>
        </w:rPr>
        <w:t xml:space="preserve"> 产业背景</w:t>
      </w:r>
    </w:p>
    <w:p>
      <w:pPr>
        <w:keepNext w:val="0"/>
        <w:keepLines w:val="0"/>
        <w:pageBreakBefore w:val="0"/>
        <w:widowControl/>
        <w:numPr>
          <w:ilvl w:val="0"/>
          <w:numId w:val="0"/>
        </w:numPr>
        <w:kinsoku/>
        <w:wordWrap/>
        <w:overflowPunct/>
        <w:topLinePunct w:val="0"/>
        <w:autoSpaceDE w:val="0"/>
        <w:autoSpaceDN w:val="0"/>
        <w:bidi w:val="0"/>
        <w:adjustRightInd/>
        <w:snapToGrid/>
        <w:spacing w:line="240" w:lineRule="auto"/>
        <w:ind w:firstLine="560" w:firstLineChars="200"/>
        <w:textAlignment w:val="auto"/>
        <w:rPr>
          <w:rFonts w:hint="eastAsia" w:ascii="仿宋" w:hAnsi="仿宋" w:eastAsia="仿宋" w:cs="仿宋"/>
          <w:sz w:val="28"/>
          <w:szCs w:val="28"/>
          <w:lang w:eastAsia="zh-CN"/>
        </w:rPr>
      </w:pPr>
      <w:r>
        <w:rPr>
          <w:rFonts w:hint="eastAsia" w:ascii="仿宋" w:hAnsi="仿宋" w:eastAsia="仿宋" w:cs="仿宋"/>
          <w:sz w:val="28"/>
          <w:szCs w:val="28"/>
          <w:lang w:eastAsia="zh-CN"/>
        </w:rPr>
        <w:t>冷柜（冰柜），是以低温保存食物等物品的设备，有家用和商用两种区分。商用冷柜是指商超、冷饮店、冻货店、酒店餐馆等商业经营渠道专卖用于储存冰淇淋、饮料、乳品、速冻食品、食品材料等的冷藏或冷冻冷柜。商用冷柜具有很强的专业性，不仅有专业的存储温度要求，而且对展示性也具有较强的要求，展示性好的冷柜可以有效促进经营者的销售，因此商用冷柜的一个典型特点是多采用单层或多层透明玻璃门(用于储存食品材料的厨房冰箱除外)，消费者不用打开冷柜门体即可看到内部物品。</w:t>
      </w:r>
    </w:p>
    <w:p>
      <w:pPr>
        <w:keepNext w:val="0"/>
        <w:keepLines w:val="0"/>
        <w:pageBreakBefore w:val="0"/>
        <w:widowControl/>
        <w:numPr>
          <w:ilvl w:val="0"/>
          <w:numId w:val="0"/>
        </w:numPr>
        <w:kinsoku/>
        <w:wordWrap/>
        <w:overflowPunct/>
        <w:topLinePunct w:val="0"/>
        <w:autoSpaceDE w:val="0"/>
        <w:autoSpaceDN w:val="0"/>
        <w:bidi w:val="0"/>
        <w:adjustRightInd/>
        <w:snapToGrid/>
        <w:spacing w:line="240" w:lineRule="auto"/>
        <w:ind w:firstLine="560" w:firstLineChars="200"/>
        <w:textAlignment w:val="auto"/>
        <w:rPr>
          <w:rFonts w:hint="eastAsia" w:ascii="仿宋" w:hAnsi="仿宋" w:eastAsia="仿宋" w:cs="仿宋"/>
          <w:sz w:val="28"/>
          <w:szCs w:val="28"/>
          <w:lang w:eastAsia="zh-CN"/>
        </w:rPr>
      </w:pPr>
      <w:r>
        <w:rPr>
          <w:rFonts w:hint="eastAsia" w:ascii="仿宋" w:hAnsi="仿宋" w:eastAsia="仿宋" w:cs="仿宋"/>
          <w:sz w:val="28"/>
          <w:szCs w:val="28"/>
          <w:lang w:eastAsia="zh-CN"/>
        </w:rPr>
        <w:t>商用冷柜一般分为商用冷藏柜、商用冷冻柜、厨房冷柜等类别，容积从20L到1600L不等。其中商用冷藏柜柜内温度在0</w:t>
      </w:r>
      <w:r>
        <w:rPr>
          <w:rFonts w:hint="eastAsia" w:ascii="宋体" w:hAnsi="宋体" w:eastAsia="宋体" w:cs="宋体"/>
          <w:sz w:val="28"/>
          <w:szCs w:val="28"/>
          <w:lang w:eastAsia="zh-CN"/>
        </w:rPr>
        <w:t>℃</w:t>
      </w:r>
      <w:r>
        <w:rPr>
          <w:rFonts w:hint="eastAsia" w:ascii="仿宋" w:hAnsi="仿宋" w:eastAsia="仿宋" w:cs="仿宋"/>
          <w:sz w:val="28"/>
          <w:szCs w:val="28"/>
          <w:lang w:eastAsia="zh-CN"/>
        </w:rPr>
        <w:t>-10</w:t>
      </w:r>
      <w:r>
        <w:rPr>
          <w:rFonts w:hint="eastAsia" w:ascii="宋体" w:hAnsi="宋体" w:eastAsia="宋体" w:cs="宋体"/>
          <w:sz w:val="28"/>
          <w:szCs w:val="28"/>
          <w:lang w:eastAsia="zh-CN"/>
        </w:rPr>
        <w:t>℃</w:t>
      </w:r>
      <w:r>
        <w:rPr>
          <w:rFonts w:hint="eastAsia" w:ascii="仿宋" w:hAnsi="仿宋" w:eastAsia="仿宋" w:cs="仿宋"/>
          <w:sz w:val="28"/>
          <w:szCs w:val="28"/>
          <w:lang w:eastAsia="zh-CN"/>
        </w:rPr>
        <w:t>，广泛应用于各种饮料、乳品及水果、鲜花等的存储销售。按开门方式分为立式(前开式)、顶开式、风幕式，立式冷柜分为单门、双门、三门、多门，顶开式有桶形、方形，风幕式包括前敞口和顶敞口两种。国市场以立式商用冷藏柜为主，占市场总容量90%以上。</w:t>
      </w:r>
    </w:p>
    <w:p>
      <w:pPr>
        <w:keepNext w:val="0"/>
        <w:keepLines w:val="0"/>
        <w:pageBreakBefore w:val="0"/>
        <w:widowControl/>
        <w:numPr>
          <w:ilvl w:val="0"/>
          <w:numId w:val="0"/>
        </w:numPr>
        <w:kinsoku/>
        <w:wordWrap/>
        <w:overflowPunct/>
        <w:topLinePunct w:val="0"/>
        <w:autoSpaceDE w:val="0"/>
        <w:autoSpaceDN w:val="0"/>
        <w:bidi w:val="0"/>
        <w:adjustRightInd/>
        <w:snapToGrid/>
        <w:spacing w:line="240" w:lineRule="auto"/>
        <w:ind w:firstLine="560" w:firstLineChars="200"/>
        <w:textAlignment w:val="auto"/>
        <w:rPr>
          <w:rFonts w:hint="eastAsia" w:ascii="仿宋" w:hAnsi="仿宋" w:eastAsia="仿宋" w:cs="仿宋"/>
          <w:sz w:val="28"/>
          <w:szCs w:val="28"/>
          <w:lang w:eastAsia="zh-CN"/>
        </w:rPr>
      </w:pPr>
      <w:r>
        <w:rPr>
          <w:rFonts w:hint="eastAsia" w:ascii="仿宋" w:hAnsi="仿宋" w:eastAsia="仿宋" w:cs="仿宋"/>
          <w:sz w:val="28"/>
          <w:szCs w:val="28"/>
          <w:lang w:eastAsia="zh-CN"/>
        </w:rPr>
        <w:t>不同的商用展示柜具有不同的特点。卧式冷柜为中国市场商用冷柜的主流，常见容积从100L到600L不等。立式商用冷柜其展示面积更大、展示效果更直观、主要用于高端冰淇淋的存储销售。台式柜一般用于高档场所的柜台销售，体积小巧。厨房冷柜，是用于餐饮行业用于存储食材的低温储存设备。岛柜则主要应用于速冻食品、水产海鲜水产等销售。</w:t>
      </w:r>
    </w:p>
    <w:p>
      <w:pPr>
        <w:keepNext w:val="0"/>
        <w:keepLines w:val="0"/>
        <w:pageBreakBefore w:val="0"/>
        <w:widowControl/>
        <w:numPr>
          <w:ilvl w:val="0"/>
          <w:numId w:val="0"/>
        </w:numPr>
        <w:kinsoku/>
        <w:wordWrap/>
        <w:overflowPunct/>
        <w:topLinePunct w:val="0"/>
        <w:autoSpaceDE w:val="0"/>
        <w:autoSpaceDN w:val="0"/>
        <w:bidi w:val="0"/>
        <w:adjustRightInd/>
        <w:snapToGrid/>
        <w:spacing w:line="240" w:lineRule="auto"/>
        <w:ind w:firstLine="562" w:firstLineChars="200"/>
        <w:textAlignment w:val="auto"/>
        <w:rPr>
          <w:rFonts w:hint="default" w:ascii="仿宋" w:hAnsi="仿宋" w:eastAsia="仿宋" w:cs="仿宋"/>
          <w:b/>
          <w:bCs/>
          <w:sz w:val="28"/>
          <w:szCs w:val="28"/>
          <w:lang w:val="en-US" w:eastAsia="zh-CN"/>
        </w:rPr>
      </w:pPr>
      <w:r>
        <w:rPr>
          <w:rFonts w:hint="eastAsia" w:ascii="仿宋" w:hAnsi="仿宋" w:eastAsia="仿宋" w:cs="仿宋"/>
          <w:b/>
          <w:bCs/>
          <w:sz w:val="28"/>
          <w:szCs w:val="28"/>
          <w:lang w:eastAsia="zh-CN"/>
        </w:rPr>
        <w:t>一、全球商用冷柜产业情况</w:t>
      </w:r>
    </w:p>
    <w:p>
      <w:pPr>
        <w:keepNext w:val="0"/>
        <w:keepLines w:val="0"/>
        <w:pageBreakBefore w:val="0"/>
        <w:widowControl/>
        <w:numPr>
          <w:ilvl w:val="0"/>
          <w:numId w:val="0"/>
        </w:numPr>
        <w:kinsoku/>
        <w:wordWrap/>
        <w:overflowPunct/>
        <w:topLinePunct w:val="0"/>
        <w:autoSpaceDE w:val="0"/>
        <w:autoSpaceDN w:val="0"/>
        <w:bidi w:val="0"/>
        <w:adjustRightInd/>
        <w:snapToGrid/>
        <w:spacing w:line="240" w:lineRule="auto"/>
        <w:ind w:firstLine="560" w:firstLineChars="200"/>
        <w:textAlignment w:val="auto"/>
        <w:rPr>
          <w:rFonts w:hint="eastAsia" w:ascii="仿宋" w:hAnsi="仿宋" w:eastAsia="仿宋" w:cs="仿宋"/>
          <w:sz w:val="28"/>
          <w:szCs w:val="28"/>
          <w:lang w:eastAsia="zh-CN"/>
        </w:rPr>
      </w:pPr>
      <w:r>
        <w:rPr>
          <w:rFonts w:hint="eastAsia" w:ascii="仿宋" w:hAnsi="仿宋" w:eastAsia="仿宋" w:cs="仿宋"/>
          <w:sz w:val="28"/>
          <w:szCs w:val="28"/>
          <w:lang w:eastAsia="zh-CN"/>
        </w:rPr>
        <w:t>随着物品的低温贮藏需求增大，小型设备低温冷柜、大型冷库都尤为兴起。国外冷柜、冷库行业发展较快的国家主要有日本、美国、芬兰、加拿大等国。日本是亚洲最大的速冻食品生产国，-20℃以下的低温库在冷柜、冷库中占80%以上。70年代以前国外冷柜、冷库普遍采用以氨为制冷剂的集中式制冷系统，70年代后期逐渐采用以R22为制冷剂的分散式制冷系统。美国和加拿大占80%以上的冷柜、冷库都以使用R717为制冷剂。80年代以来，分散式制冷系统在国外发展很快，冷却设备由冷风机逐步取代了排管，贮藏水果冷柜、冷库中近1/3为气调库，在冷柜、冷库建造方面土建冷柜、冷库正向预制装配化发展，自动化控制程度比较高。比较著名的装配式冷柜、冷库的制造商如芬兰的辉乐冷冻集团(HUURRE)，其库板HE-3由无氟绝缘聚氨酯板和两层镀锌的钢层组成，轻便易拆卸，施工期短、气密性好、空间利用率高。</w:t>
      </w:r>
    </w:p>
    <w:p>
      <w:pPr>
        <w:keepNext w:val="0"/>
        <w:keepLines w:val="0"/>
        <w:pageBreakBefore w:val="0"/>
        <w:widowControl/>
        <w:numPr>
          <w:ilvl w:val="0"/>
          <w:numId w:val="0"/>
        </w:numPr>
        <w:kinsoku/>
        <w:wordWrap/>
        <w:overflowPunct/>
        <w:topLinePunct w:val="0"/>
        <w:autoSpaceDE w:val="0"/>
        <w:autoSpaceDN w:val="0"/>
        <w:bidi w:val="0"/>
        <w:adjustRightInd/>
        <w:snapToGrid/>
        <w:spacing w:line="240" w:lineRule="auto"/>
        <w:ind w:firstLine="560" w:firstLineChars="200"/>
        <w:textAlignment w:val="auto"/>
        <w:rPr>
          <w:rFonts w:hint="default" w:ascii="仿宋" w:hAnsi="仿宋" w:eastAsia="仿宋" w:cs="仿宋"/>
          <w:sz w:val="28"/>
          <w:szCs w:val="28"/>
          <w:lang w:val="en-US" w:eastAsia="zh-CN"/>
        </w:rPr>
      </w:pPr>
      <w:r>
        <w:rPr>
          <w:rFonts w:hint="eastAsia" w:ascii="仿宋" w:hAnsi="仿宋" w:eastAsia="仿宋" w:cs="仿宋"/>
          <w:sz w:val="28"/>
          <w:szCs w:val="28"/>
          <w:lang w:eastAsia="zh-CN"/>
        </w:rPr>
        <w:t>全球商用冷柜市场主要集中在欧洲和美国等发达国家。其次是新西兰、日本、新加坡、中国香港地区和韩国等亚太发达国家及地区。据统计研究表明，2018年冷柜行业整体销售2764万台，同比增长4.3%，其中家用冷柜1757万台，同比下滑0.3%，商用冷柜1007万台，同比增长13.5%。2019年，全球商用展示柜将达到1,787万台，其中商用冷冻展示柜达到511万台，商用冷藏展示柜达到1,276万台。</w:t>
      </w:r>
      <w:r>
        <w:rPr>
          <w:rFonts w:hint="eastAsia" w:ascii="仿宋" w:hAnsi="仿宋" w:eastAsia="仿宋" w:cs="仿宋"/>
          <w:sz w:val="28"/>
          <w:szCs w:val="28"/>
          <w:lang w:val="en-US" w:eastAsia="zh-CN"/>
        </w:rPr>
        <w:t>2019年以后的</w:t>
      </w:r>
      <w:r>
        <w:rPr>
          <w:rFonts w:hint="eastAsia" w:ascii="仿宋" w:hAnsi="仿宋" w:eastAsia="仿宋" w:cs="仿宋"/>
          <w:sz w:val="28"/>
          <w:szCs w:val="28"/>
          <w:lang w:eastAsia="zh-CN"/>
        </w:rPr>
        <w:t>全球商用展示柜的市场增长率保持在5%左右</w:t>
      </w:r>
      <w:r>
        <w:rPr>
          <w:rFonts w:hint="eastAsia" w:ascii="仿宋" w:hAnsi="仿宋" w:eastAsia="仿宋" w:cs="仿宋"/>
          <w:sz w:val="28"/>
          <w:szCs w:val="28"/>
          <w:lang w:val="en-US" w:eastAsia="zh-CN"/>
        </w:rPr>
        <w:t>。</w:t>
      </w:r>
    </w:p>
    <w:p>
      <w:pPr>
        <w:keepNext w:val="0"/>
        <w:keepLines w:val="0"/>
        <w:pageBreakBefore w:val="0"/>
        <w:widowControl/>
        <w:numPr>
          <w:ilvl w:val="0"/>
          <w:numId w:val="0"/>
        </w:numPr>
        <w:kinsoku/>
        <w:wordWrap/>
        <w:overflowPunct/>
        <w:topLinePunct w:val="0"/>
        <w:autoSpaceDE w:val="0"/>
        <w:autoSpaceDN w:val="0"/>
        <w:bidi w:val="0"/>
        <w:adjustRightInd/>
        <w:snapToGrid/>
        <w:spacing w:line="240" w:lineRule="auto"/>
        <w:ind w:firstLine="560" w:firstLineChars="200"/>
        <w:textAlignment w:val="auto"/>
        <w:rPr>
          <w:rFonts w:hint="eastAsia" w:ascii="仿宋" w:hAnsi="仿宋" w:eastAsia="仿宋" w:cs="仿宋"/>
          <w:sz w:val="28"/>
          <w:szCs w:val="28"/>
          <w:lang w:eastAsia="zh-CN"/>
        </w:rPr>
      </w:pPr>
    </w:p>
    <w:p>
      <w:pPr>
        <w:keepNext w:val="0"/>
        <w:keepLines w:val="0"/>
        <w:pageBreakBefore w:val="0"/>
        <w:widowControl/>
        <w:numPr>
          <w:ilvl w:val="0"/>
          <w:numId w:val="0"/>
        </w:numPr>
        <w:kinsoku/>
        <w:wordWrap/>
        <w:overflowPunct/>
        <w:topLinePunct w:val="0"/>
        <w:autoSpaceDE w:val="0"/>
        <w:autoSpaceDN w:val="0"/>
        <w:bidi w:val="0"/>
        <w:adjustRightInd/>
        <w:snapToGrid/>
        <w:spacing w:line="240" w:lineRule="auto"/>
        <w:ind w:firstLine="562" w:firstLineChars="200"/>
        <w:textAlignment w:val="auto"/>
        <w:rPr>
          <w:rFonts w:hint="eastAsia" w:ascii="仿宋" w:hAnsi="仿宋" w:eastAsia="仿宋" w:cs="仿宋"/>
          <w:b/>
          <w:bCs/>
          <w:sz w:val="28"/>
          <w:szCs w:val="28"/>
          <w:lang w:eastAsia="zh-CN"/>
        </w:rPr>
      </w:pPr>
      <w:r>
        <w:rPr>
          <w:rFonts w:hint="eastAsia" w:ascii="仿宋" w:hAnsi="仿宋" w:eastAsia="仿宋" w:cs="仿宋"/>
          <w:b/>
          <w:bCs/>
          <w:sz w:val="28"/>
          <w:szCs w:val="28"/>
          <w:lang w:eastAsia="zh-CN"/>
        </w:rPr>
        <w:t>二、国内商用冷柜产业情况</w:t>
      </w:r>
    </w:p>
    <w:p>
      <w:pPr>
        <w:keepNext w:val="0"/>
        <w:keepLines w:val="0"/>
        <w:pageBreakBefore w:val="0"/>
        <w:widowControl/>
        <w:numPr>
          <w:ilvl w:val="0"/>
          <w:numId w:val="0"/>
        </w:numPr>
        <w:kinsoku/>
        <w:wordWrap/>
        <w:overflowPunct/>
        <w:topLinePunct w:val="0"/>
        <w:autoSpaceDE w:val="0"/>
        <w:autoSpaceDN w:val="0"/>
        <w:bidi w:val="0"/>
        <w:adjustRightInd/>
        <w:snapToGrid/>
        <w:spacing w:line="240" w:lineRule="auto"/>
        <w:ind w:firstLine="560" w:firstLineChars="200"/>
        <w:textAlignment w:val="auto"/>
        <w:rPr>
          <w:rFonts w:hint="eastAsia" w:ascii="仿宋" w:hAnsi="仿宋" w:eastAsia="仿宋" w:cs="仿宋"/>
          <w:sz w:val="28"/>
          <w:szCs w:val="28"/>
          <w:lang w:eastAsia="zh-CN"/>
        </w:rPr>
      </w:pPr>
      <w:r>
        <w:rPr>
          <w:rFonts w:hint="eastAsia" w:ascii="仿宋" w:hAnsi="仿宋" w:eastAsia="仿宋" w:cs="仿宋"/>
          <w:sz w:val="28"/>
          <w:szCs w:val="28"/>
          <w:lang w:eastAsia="zh-CN"/>
        </w:rPr>
        <w:t>我国商用冷柜经过几十年的发展，生产规模扩张迅速，冷柜的供给充足，在满足国内需求的基础上还有大量的出口，国内的供给大于需求，导致商用冷柜行业市场竞争激烈。</w:t>
      </w:r>
    </w:p>
    <w:p>
      <w:pPr>
        <w:keepNext w:val="0"/>
        <w:keepLines w:val="0"/>
        <w:pageBreakBefore w:val="0"/>
        <w:widowControl/>
        <w:numPr>
          <w:ilvl w:val="0"/>
          <w:numId w:val="0"/>
        </w:numPr>
        <w:kinsoku/>
        <w:wordWrap/>
        <w:overflowPunct/>
        <w:topLinePunct w:val="0"/>
        <w:autoSpaceDE w:val="0"/>
        <w:autoSpaceDN w:val="0"/>
        <w:bidi w:val="0"/>
        <w:adjustRightInd/>
        <w:snapToGrid/>
        <w:spacing w:line="240" w:lineRule="auto"/>
        <w:ind w:firstLine="560" w:firstLineChars="200"/>
        <w:textAlignment w:val="auto"/>
        <w:rPr>
          <w:rFonts w:hint="eastAsia" w:ascii="仿宋" w:hAnsi="仿宋" w:eastAsia="仿宋" w:cs="仿宋"/>
          <w:sz w:val="28"/>
          <w:szCs w:val="28"/>
          <w:lang w:eastAsia="zh-CN"/>
        </w:rPr>
      </w:pPr>
      <w:r>
        <w:rPr>
          <w:rFonts w:hint="eastAsia" w:ascii="仿宋" w:hAnsi="仿宋" w:eastAsia="仿宋" w:cs="仿宋"/>
          <w:sz w:val="28"/>
          <w:szCs w:val="28"/>
          <w:lang w:eastAsia="zh-CN"/>
        </w:rPr>
        <w:t>细分冷柜零售结构，冷冻柜仍为主体，多种商用展示产品占比有限。线上市场小型+大型冷冻柜占比近50%，酒柜、冰吧占比9.9%和5.7%，商用冷藏柜、商用冷冻柜占比则分为 8.5%和2.7%;而线下市场中小型+大型冷冻柜占比达61.3%，冰吧占比12.4%，商用冷藏冷冻柜合计占比仅3.2%，表明消费端的市场需求依然较为单一 。</w:t>
      </w:r>
    </w:p>
    <w:p>
      <w:pPr>
        <w:keepNext w:val="0"/>
        <w:keepLines w:val="0"/>
        <w:pageBreakBefore w:val="0"/>
        <w:widowControl/>
        <w:numPr>
          <w:ilvl w:val="0"/>
          <w:numId w:val="0"/>
        </w:numPr>
        <w:kinsoku/>
        <w:wordWrap/>
        <w:overflowPunct/>
        <w:topLinePunct w:val="0"/>
        <w:autoSpaceDE w:val="0"/>
        <w:autoSpaceDN w:val="0"/>
        <w:bidi w:val="0"/>
        <w:adjustRightInd/>
        <w:snapToGrid/>
        <w:spacing w:line="240" w:lineRule="auto"/>
        <w:ind w:firstLine="560" w:firstLineChars="200"/>
        <w:textAlignment w:val="auto"/>
        <w:rPr>
          <w:rFonts w:hint="eastAsia" w:ascii="仿宋" w:hAnsi="仿宋" w:eastAsia="仿宋" w:cs="仿宋"/>
          <w:sz w:val="28"/>
          <w:szCs w:val="28"/>
          <w:lang w:eastAsia="zh-CN"/>
        </w:rPr>
      </w:pPr>
      <w:r>
        <w:rPr>
          <w:rFonts w:hint="eastAsia" w:ascii="仿宋" w:hAnsi="仿宋" w:eastAsia="仿宋" w:cs="仿宋"/>
          <w:sz w:val="28"/>
          <w:szCs w:val="28"/>
          <w:lang w:eastAsia="zh-CN"/>
        </w:rPr>
        <w:t>数据显示，</w:t>
      </w:r>
      <w:r>
        <w:rPr>
          <w:rFonts w:hint="eastAsia" w:ascii="仿宋" w:hAnsi="仿宋" w:eastAsia="仿宋" w:cs="仿宋"/>
          <w:sz w:val="28"/>
          <w:szCs w:val="28"/>
          <w:lang w:val="en-US" w:eastAsia="zh-CN"/>
        </w:rPr>
        <w:t>在</w:t>
      </w:r>
      <w:r>
        <w:rPr>
          <w:rFonts w:hint="eastAsia" w:ascii="仿宋" w:hAnsi="仿宋" w:eastAsia="仿宋" w:cs="仿宋"/>
          <w:sz w:val="28"/>
          <w:szCs w:val="28"/>
          <w:lang w:eastAsia="zh-CN"/>
        </w:rPr>
        <w:t>2018年，中国商用冷柜市场规模就达到931.96亿元。商用冷柜是市场经济的产物，随着各大饮料、冰淇淋、速冻食品厂商的发展壮大市场规模不断扩大，产品形式逐步细分。快消品的飞速发展带动了商用冷柜的开发上市，由于展示更加直观、存储温度更加专业，使用更加便利，商用冷柜的市场规模迅速扩大。</w:t>
      </w:r>
    </w:p>
    <w:p>
      <w:pPr>
        <w:keepNext w:val="0"/>
        <w:keepLines w:val="0"/>
        <w:pageBreakBefore w:val="0"/>
        <w:widowControl/>
        <w:numPr>
          <w:ilvl w:val="0"/>
          <w:numId w:val="0"/>
        </w:numPr>
        <w:kinsoku/>
        <w:wordWrap/>
        <w:overflowPunct/>
        <w:topLinePunct w:val="0"/>
        <w:autoSpaceDE w:val="0"/>
        <w:autoSpaceDN w:val="0"/>
        <w:bidi w:val="0"/>
        <w:adjustRightInd/>
        <w:snapToGrid/>
        <w:spacing w:line="240" w:lineRule="auto"/>
        <w:ind w:firstLine="560" w:firstLineChars="200"/>
        <w:textAlignment w:val="auto"/>
        <w:rPr>
          <w:rFonts w:hint="eastAsia" w:ascii="仿宋" w:hAnsi="仿宋" w:eastAsia="仿宋" w:cs="仿宋"/>
          <w:sz w:val="28"/>
          <w:szCs w:val="28"/>
          <w:lang w:eastAsia="zh-CN"/>
        </w:rPr>
      </w:pPr>
      <w:r>
        <w:rPr>
          <w:rFonts w:hint="eastAsia" w:ascii="仿宋" w:hAnsi="仿宋" w:eastAsia="仿宋" w:cs="仿宋"/>
          <w:sz w:val="28"/>
          <w:szCs w:val="28"/>
          <w:lang w:eastAsia="zh-CN"/>
        </w:rPr>
        <w:t>商用冷柜市场主要由行业大客户市场和终端零散客户市场组成，其中，冷柜制造商主要以企业直销的方式覆盖行业客户市场，每年通过饮料、冰淇淋行业大客户的招投标确定商用冷柜采购意向，而在零散客户市场中主要依靠经销商覆盖。</w:t>
      </w:r>
    </w:p>
    <w:p>
      <w:pPr>
        <w:keepNext w:val="0"/>
        <w:keepLines w:val="0"/>
        <w:pageBreakBefore w:val="0"/>
        <w:widowControl/>
        <w:numPr>
          <w:ilvl w:val="0"/>
          <w:numId w:val="0"/>
        </w:numPr>
        <w:kinsoku/>
        <w:wordWrap/>
        <w:overflowPunct/>
        <w:topLinePunct w:val="0"/>
        <w:autoSpaceDE w:val="0"/>
        <w:autoSpaceDN w:val="0"/>
        <w:bidi w:val="0"/>
        <w:adjustRightInd/>
        <w:snapToGrid/>
        <w:spacing w:line="240" w:lineRule="auto"/>
        <w:ind w:firstLine="560" w:firstLineChars="200"/>
        <w:textAlignment w:val="auto"/>
        <w:rPr>
          <w:rFonts w:hint="eastAsia" w:ascii="仿宋" w:hAnsi="仿宋" w:eastAsia="仿宋" w:cs="仿宋"/>
          <w:sz w:val="28"/>
          <w:szCs w:val="28"/>
          <w:lang w:eastAsia="zh-CN"/>
        </w:rPr>
      </w:pPr>
      <w:r>
        <w:rPr>
          <w:rFonts w:hint="eastAsia" w:ascii="仿宋" w:hAnsi="仿宋" w:eastAsia="仿宋" w:cs="仿宋"/>
          <w:sz w:val="28"/>
          <w:szCs w:val="28"/>
          <w:lang w:eastAsia="zh-CN"/>
        </w:rPr>
        <w:t>近年来随着国内经济保持着稳定的发展势头，受消费者生活习惯和消费习惯变化的影响，冷柜成为各大快消行业不可或缺的设备，尤其是餐饮业的迅速发展，使得我国冷柜市场维持稳定需求。2014-2019年我国冷柜销量呈逐年增长趋势，根据相关数据统计显示，2018年冷柜行业整体产量达到3262万台，2019年我国冷柜产量规模达到3587万台，2019年我国冷柜销量2662.1万台，同比增长9.48%。2020年1-8月，我国冷柜销量达2067.8万台，增速远高于全球增速水平。</w:t>
      </w:r>
    </w:p>
    <w:p>
      <w:pPr>
        <w:keepNext w:val="0"/>
        <w:keepLines w:val="0"/>
        <w:pageBreakBefore w:val="0"/>
        <w:widowControl/>
        <w:numPr>
          <w:ilvl w:val="0"/>
          <w:numId w:val="0"/>
        </w:numPr>
        <w:kinsoku/>
        <w:wordWrap/>
        <w:overflowPunct/>
        <w:topLinePunct w:val="0"/>
        <w:autoSpaceDE w:val="0"/>
        <w:autoSpaceDN w:val="0"/>
        <w:bidi w:val="0"/>
        <w:adjustRightInd/>
        <w:snapToGrid/>
        <w:spacing w:line="240" w:lineRule="auto"/>
        <w:ind w:firstLine="562" w:firstLineChars="200"/>
        <w:textAlignment w:val="auto"/>
        <w:rPr>
          <w:rFonts w:hint="eastAsia" w:ascii="仿宋" w:hAnsi="仿宋" w:eastAsia="仿宋" w:cs="仿宋"/>
          <w:b/>
          <w:bCs/>
          <w:sz w:val="28"/>
          <w:szCs w:val="28"/>
          <w:lang w:eastAsia="zh-CN"/>
        </w:rPr>
      </w:pPr>
      <w:r>
        <w:rPr>
          <w:rFonts w:hint="eastAsia" w:ascii="仿宋" w:hAnsi="仿宋" w:eastAsia="仿宋" w:cs="仿宋"/>
          <w:b/>
          <w:bCs/>
          <w:sz w:val="28"/>
          <w:szCs w:val="28"/>
          <w:lang w:eastAsia="zh-CN"/>
        </w:rPr>
        <w:t>三、商用冷柜技术发展趋势</w:t>
      </w:r>
    </w:p>
    <w:p>
      <w:pPr>
        <w:keepNext w:val="0"/>
        <w:keepLines w:val="0"/>
        <w:pageBreakBefore w:val="0"/>
        <w:widowControl/>
        <w:numPr>
          <w:ilvl w:val="0"/>
          <w:numId w:val="0"/>
        </w:numPr>
        <w:kinsoku/>
        <w:wordWrap/>
        <w:overflowPunct/>
        <w:topLinePunct w:val="0"/>
        <w:autoSpaceDE w:val="0"/>
        <w:autoSpaceDN w:val="0"/>
        <w:bidi w:val="0"/>
        <w:adjustRightInd/>
        <w:snapToGrid/>
        <w:spacing w:line="240" w:lineRule="auto"/>
        <w:ind w:firstLine="560" w:firstLineChars="200"/>
        <w:textAlignment w:val="auto"/>
        <w:rPr>
          <w:rFonts w:hint="eastAsia" w:ascii="仿宋" w:hAnsi="仿宋" w:eastAsia="仿宋" w:cs="仿宋"/>
          <w:sz w:val="28"/>
          <w:szCs w:val="28"/>
          <w:lang w:eastAsia="zh-CN"/>
        </w:rPr>
      </w:pPr>
      <w:r>
        <w:rPr>
          <w:rFonts w:hint="eastAsia" w:ascii="仿宋" w:hAnsi="仿宋" w:eastAsia="仿宋" w:cs="仿宋"/>
          <w:sz w:val="28"/>
          <w:szCs w:val="28"/>
          <w:lang w:eastAsia="zh-CN"/>
        </w:rPr>
        <w:t>总的来看，过去一定时期内商用冷柜行业延续了稳中有进、稳中向好的发展态势。同时，得益于国家经济发展、消费需求升级以及政策大力支持，为未来商用冷柜行业继续保持稳中向好奠定较好基础。</w:t>
      </w:r>
    </w:p>
    <w:p>
      <w:pPr>
        <w:keepNext w:val="0"/>
        <w:keepLines w:val="0"/>
        <w:pageBreakBefore w:val="0"/>
        <w:widowControl/>
        <w:numPr>
          <w:ilvl w:val="0"/>
          <w:numId w:val="0"/>
        </w:numPr>
        <w:kinsoku/>
        <w:wordWrap/>
        <w:overflowPunct/>
        <w:topLinePunct w:val="0"/>
        <w:autoSpaceDE w:val="0"/>
        <w:autoSpaceDN w:val="0"/>
        <w:bidi w:val="0"/>
        <w:adjustRightInd/>
        <w:snapToGrid/>
        <w:spacing w:line="240" w:lineRule="auto"/>
        <w:ind w:firstLine="560" w:firstLineChars="200"/>
        <w:textAlignment w:val="auto"/>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我国作为商用冷柜制造和销售大国，主要集中在中低端产品链上，核心技术掌握还存在不足，应结合商用冷柜技术发展趋势，不断提升产品档次。</w:t>
      </w:r>
    </w:p>
    <w:p>
      <w:pPr>
        <w:keepNext w:val="0"/>
        <w:keepLines w:val="0"/>
        <w:pageBreakBefore w:val="0"/>
        <w:widowControl/>
        <w:numPr>
          <w:ilvl w:val="0"/>
          <w:numId w:val="0"/>
        </w:numPr>
        <w:kinsoku/>
        <w:wordWrap/>
        <w:overflowPunct/>
        <w:topLinePunct w:val="0"/>
        <w:autoSpaceDE w:val="0"/>
        <w:autoSpaceDN w:val="0"/>
        <w:bidi w:val="0"/>
        <w:adjustRightInd/>
        <w:snapToGrid/>
        <w:spacing w:line="240" w:lineRule="auto"/>
        <w:ind w:firstLine="560" w:firstLineChars="200"/>
        <w:textAlignment w:val="auto"/>
        <w:rPr>
          <w:rFonts w:hint="eastAsia" w:ascii="仿宋" w:hAnsi="仿宋" w:eastAsia="仿宋" w:cs="仿宋"/>
          <w:sz w:val="28"/>
          <w:szCs w:val="28"/>
          <w:lang w:eastAsia="zh-CN"/>
        </w:rPr>
      </w:pPr>
      <w:r>
        <w:rPr>
          <w:rFonts w:hint="eastAsia" w:ascii="仿宋" w:hAnsi="仿宋" w:eastAsia="仿宋" w:cs="仿宋"/>
          <w:sz w:val="28"/>
          <w:szCs w:val="28"/>
          <w:lang w:val="en-US" w:eastAsia="zh-CN"/>
        </w:rPr>
        <w:t>1、</w:t>
      </w:r>
      <w:r>
        <w:rPr>
          <w:rFonts w:hint="eastAsia" w:ascii="仿宋" w:hAnsi="仿宋" w:eastAsia="仿宋" w:cs="仿宋"/>
          <w:sz w:val="28"/>
          <w:szCs w:val="28"/>
          <w:lang w:eastAsia="zh-CN"/>
        </w:rPr>
        <w:t>商用冷柜作为食品零售、餐饮、医疗、科研等领域冷藏冷冻设备，其能效、容量、功能、设计等方面持续优化。现代商用冷柜采用高效压缩机、智能温控系统、环保制冷剂，实现低温、恒温、节能运行。冷柜内部空间布局合理、易于清洁、便于存取，适应不同商品展示与储存需求。商用冷柜具备远程监控、故障预警、数据记录等功能，提高设备管理效率。标准与检测方法逐步完善，确保商用冷柜性能与食品安全。</w:t>
      </w:r>
    </w:p>
    <w:p>
      <w:pPr>
        <w:keepNext w:val="0"/>
        <w:keepLines w:val="0"/>
        <w:pageBreakBefore w:val="0"/>
        <w:widowControl/>
        <w:numPr>
          <w:ilvl w:val="0"/>
          <w:numId w:val="0"/>
        </w:numPr>
        <w:kinsoku/>
        <w:wordWrap/>
        <w:overflowPunct/>
        <w:topLinePunct w:val="0"/>
        <w:autoSpaceDE w:val="0"/>
        <w:autoSpaceDN w:val="0"/>
        <w:bidi w:val="0"/>
        <w:adjustRightInd/>
        <w:snapToGrid/>
        <w:spacing w:line="240" w:lineRule="auto"/>
        <w:ind w:firstLine="560" w:firstLineChars="200"/>
        <w:textAlignment w:val="auto"/>
        <w:rPr>
          <w:rFonts w:hint="eastAsia" w:ascii="仿宋" w:hAnsi="仿宋" w:eastAsia="仿宋" w:cs="仿宋"/>
          <w:sz w:val="28"/>
          <w:szCs w:val="28"/>
          <w:lang w:eastAsia="zh-CN"/>
        </w:rPr>
      </w:pPr>
      <w:r>
        <w:rPr>
          <w:rFonts w:hint="eastAsia" w:ascii="仿宋" w:hAnsi="仿宋" w:eastAsia="仿宋" w:cs="仿宋"/>
          <w:sz w:val="28"/>
          <w:szCs w:val="28"/>
          <w:lang w:val="en-US" w:eastAsia="zh-CN"/>
        </w:rPr>
        <w:t>2、</w:t>
      </w:r>
      <w:r>
        <w:rPr>
          <w:rFonts w:hint="eastAsia" w:ascii="仿宋" w:hAnsi="仿宋" w:eastAsia="仿宋" w:cs="仿宋"/>
          <w:sz w:val="28"/>
          <w:szCs w:val="28"/>
          <w:lang w:eastAsia="zh-CN"/>
        </w:rPr>
        <w:t>商用冷柜将向更节能、更智能、更个性化方向发展。新型制冷技术、热管理技术的应用，将提高冷柜能效，降低运行成本。物联网、大数据、人工智能等技术的融入，将使冷柜具备智能温控、智能库存管理、智能能耗分析等功能，实现精细化管理。定制化冷柜、主题化冷柜将增多，如适应新零售、无人售货、生鲜电商等新业态，提供个性化展示与售卖体验。行业标准与检测体系将进一步完善，以适应商用冷柜技术的快速发展与市场需求。</w:t>
      </w:r>
    </w:p>
    <w:p>
      <w:pPr>
        <w:widowControl/>
        <w:spacing w:line="720" w:lineRule="auto"/>
        <w:rPr>
          <w:rFonts w:ascii="黑体" w:hAnsi="宋体" w:eastAsia="黑体" w:cs="黑体"/>
          <w:sz w:val="28"/>
          <w:szCs w:val="28"/>
          <w:lang w:eastAsia="zh-CN"/>
        </w:rPr>
      </w:pPr>
      <w:r>
        <w:rPr>
          <w:rFonts w:hint="eastAsia" w:ascii="黑体" w:hAnsi="宋体" w:eastAsia="黑体" w:cs="黑体"/>
          <w:sz w:val="28"/>
          <w:szCs w:val="28"/>
          <w:lang w:eastAsia="zh-CN"/>
        </w:rPr>
        <w:t>1.</w:t>
      </w:r>
      <w:r>
        <w:rPr>
          <w:rFonts w:hint="eastAsia" w:ascii="黑体" w:hAnsi="宋体" w:eastAsia="黑体" w:cs="黑体"/>
          <w:sz w:val="28"/>
          <w:szCs w:val="28"/>
          <w:lang w:val="en-US" w:eastAsia="zh-CN"/>
        </w:rPr>
        <w:t>2</w:t>
      </w:r>
      <w:r>
        <w:rPr>
          <w:rFonts w:hint="eastAsia" w:ascii="黑体" w:hAnsi="宋体" w:eastAsia="黑体" w:cs="黑体"/>
          <w:sz w:val="28"/>
          <w:szCs w:val="28"/>
          <w:lang w:eastAsia="zh-CN"/>
        </w:rPr>
        <w:t xml:space="preserve">  提升方向</w:t>
      </w:r>
    </w:p>
    <w:p>
      <w:pPr>
        <w:spacing w:line="360" w:lineRule="auto"/>
        <w:ind w:firstLine="560" w:firstLineChars="200"/>
        <w:jc w:val="both"/>
        <w:rPr>
          <w:rFonts w:ascii="仿宋" w:hAnsi="仿宋" w:eastAsia="仿宋" w:cs="仿宋"/>
          <w:sz w:val="28"/>
          <w:szCs w:val="28"/>
          <w:lang w:eastAsia="zh-CN"/>
        </w:rPr>
      </w:pPr>
      <w:r>
        <w:rPr>
          <w:rFonts w:hint="eastAsia" w:ascii="仿宋" w:hAnsi="仿宋" w:eastAsia="仿宋" w:cs="仿宋"/>
          <w:sz w:val="28"/>
          <w:szCs w:val="28"/>
          <w:lang w:eastAsia="zh-CN"/>
        </w:rPr>
        <w:t xml:space="preserve">通过打造佛山标准，树立优质区域品牌形象，有助于进一步做大做强产业。进一步提高商用厨房冷柜的产品质量，引导行业有序、健康发展，树立和提升区域品牌形象。团体标准的提升方向具体如下： </w:t>
      </w:r>
    </w:p>
    <w:p>
      <w:pPr>
        <w:spacing w:line="360" w:lineRule="auto"/>
        <w:ind w:firstLine="560" w:firstLineChars="200"/>
        <w:jc w:val="both"/>
        <w:rPr>
          <w:rFonts w:ascii="仿宋" w:hAnsi="仿宋" w:eastAsia="仿宋" w:cs="仿宋"/>
          <w:sz w:val="28"/>
          <w:szCs w:val="28"/>
          <w:lang w:eastAsia="zh-CN"/>
        </w:rPr>
      </w:pPr>
      <w:r>
        <w:rPr>
          <w:rFonts w:hint="eastAsia" w:ascii="仿宋" w:hAnsi="仿宋" w:eastAsia="仿宋" w:cs="仿宋"/>
          <w:sz w:val="28"/>
          <w:szCs w:val="28"/>
          <w:lang w:eastAsia="zh-CN"/>
        </w:rPr>
        <w:t>满足用户需求。随着产品品质的提高，用户不仅重商用厨房冷柜的基础功能，还更关注商用厨房冷柜的质量稳定性、可靠性和多功能性，本标准编制过程充分考虑了用户的需求及提出的意见和建议。</w:t>
      </w:r>
    </w:p>
    <w:p>
      <w:pPr>
        <w:ind w:firstLine="560" w:firstLineChars="200"/>
        <w:rPr>
          <w:rFonts w:hint="eastAsia" w:ascii="仿宋" w:hAnsi="仿宋" w:eastAsia="仿宋" w:cs="仿宋"/>
          <w:sz w:val="28"/>
          <w:szCs w:val="28"/>
          <w:lang w:eastAsia="zh-CN"/>
        </w:rPr>
      </w:pPr>
      <w:r>
        <w:rPr>
          <w:rFonts w:hint="eastAsia" w:ascii="仿宋" w:hAnsi="仿宋" w:eastAsia="仿宋" w:cs="仿宋"/>
          <w:sz w:val="28"/>
          <w:szCs w:val="28"/>
          <w:lang w:eastAsia="zh-CN"/>
        </w:rPr>
        <w:t>符合政策要求。当前政策对于卫生安全、环保节能的要求不断提高，商用厨房冷柜产品应注重卫生安全和环保性，符合政策导向和要求。本标准对商用厨房冷柜产品的耗电量、能效指数、噪声、安全、电磁兼容、限用物质、制冷剂类型、食品接触材料安全、可再生利用率及抗菌等指标进行了考核。</w:t>
      </w:r>
    </w:p>
    <w:p>
      <w:pPr>
        <w:spacing w:line="360" w:lineRule="auto"/>
        <w:ind w:firstLine="560" w:firstLineChars="200"/>
        <w:jc w:val="both"/>
        <w:rPr>
          <w:rFonts w:ascii="仿宋" w:hAnsi="仿宋" w:eastAsia="仿宋" w:cs="仿宋"/>
          <w:sz w:val="28"/>
          <w:szCs w:val="28"/>
          <w:lang w:eastAsia="zh-CN"/>
        </w:rPr>
      </w:pPr>
      <w:r>
        <w:rPr>
          <w:rFonts w:hint="eastAsia" w:ascii="仿宋" w:hAnsi="仿宋" w:eastAsia="仿宋" w:cs="仿宋"/>
          <w:sz w:val="28"/>
          <w:szCs w:val="28"/>
          <w:lang w:eastAsia="zh-CN"/>
        </w:rPr>
        <w:t>适应产品发展需要</w:t>
      </w:r>
      <w:r>
        <w:rPr>
          <w:rFonts w:ascii="仿宋" w:hAnsi="仿宋" w:eastAsia="仿宋" w:cs="仿宋"/>
          <w:sz w:val="28"/>
          <w:szCs w:val="28"/>
          <w:lang w:eastAsia="zh-CN"/>
        </w:rPr>
        <w:t>。</w:t>
      </w:r>
      <w:r>
        <w:rPr>
          <w:rFonts w:hint="eastAsia" w:ascii="仿宋" w:hAnsi="仿宋" w:eastAsia="仿宋" w:cs="仿宋"/>
          <w:sz w:val="28"/>
          <w:szCs w:val="28"/>
          <w:lang w:eastAsia="zh-CN"/>
        </w:rPr>
        <w:t>商用厨房冷柜属于较为成熟且又具有高技术含量和技术创新发展的产品，市场竞争激烈。为保证佛山地区商用厨房冷柜产品的竞争优势，更好地扩大影响力，抢占国内外市场份额，需要打造更高水平的标准，比现有国家、行业标准的要求更高，把中高端商用厨房冷柜做好做强。</w:t>
      </w:r>
    </w:p>
    <w:p>
      <w:pPr>
        <w:widowControl/>
        <w:spacing w:line="720" w:lineRule="auto"/>
        <w:rPr>
          <w:rFonts w:ascii="黑体" w:hAnsi="宋体" w:eastAsia="黑体" w:cs="黑体"/>
          <w:sz w:val="28"/>
          <w:szCs w:val="28"/>
          <w:lang w:eastAsia="zh-CN"/>
        </w:rPr>
      </w:pPr>
      <w:r>
        <w:rPr>
          <w:rFonts w:hint="eastAsia" w:ascii="黑体" w:hAnsi="宋体" w:eastAsia="黑体" w:cs="黑体"/>
          <w:sz w:val="28"/>
          <w:szCs w:val="28"/>
          <w:lang w:eastAsia="zh-CN"/>
        </w:rPr>
        <w:t>1.</w:t>
      </w:r>
      <w:r>
        <w:rPr>
          <w:rFonts w:hint="eastAsia" w:ascii="黑体" w:hAnsi="宋体" w:eastAsia="黑体" w:cs="黑体"/>
          <w:sz w:val="28"/>
          <w:szCs w:val="28"/>
          <w:lang w:val="en-US" w:eastAsia="zh-CN"/>
        </w:rPr>
        <w:t>3</w:t>
      </w:r>
      <w:r>
        <w:rPr>
          <w:rFonts w:hint="eastAsia" w:ascii="黑体" w:hAnsi="宋体" w:eastAsia="黑体" w:cs="黑体"/>
          <w:sz w:val="28"/>
          <w:szCs w:val="28"/>
          <w:lang w:eastAsia="zh-CN"/>
        </w:rPr>
        <w:t xml:space="preserve">  项目意义</w:t>
      </w:r>
    </w:p>
    <w:p>
      <w:pPr>
        <w:widowControl/>
        <w:spacing w:line="360" w:lineRule="auto"/>
        <w:ind w:firstLine="560" w:firstLineChars="200"/>
        <w:jc w:val="both"/>
        <w:rPr>
          <w:rFonts w:ascii="仿宋" w:hAnsi="仿宋" w:eastAsia="仿宋" w:cs="仿宋"/>
          <w:sz w:val="28"/>
          <w:szCs w:val="28"/>
          <w:lang w:eastAsia="zh-CN"/>
        </w:rPr>
      </w:pPr>
      <w:r>
        <w:rPr>
          <w:rFonts w:hint="eastAsia" w:ascii="仿宋" w:hAnsi="仿宋" w:eastAsia="仿宋" w:cs="仿宋"/>
          <w:sz w:val="28"/>
          <w:szCs w:val="28"/>
          <w:lang w:eastAsia="zh-CN"/>
        </w:rPr>
        <w:t>为更好地发展佛山市重点产业、优势产品，本标准根据佛山标准要求，定位于“国内领先、国际先进”的水平，充分考虑行业发展情况，使标准编制更趋于合理、科学、先进。满足当前客户对商用厨房冷柜的要求，提高产品国内外场竞争力，对行业健康、快速发展有促进和引领作用。执行本标准有助于提升产品质量水平，扩大品牌影响力，提高企业竞争力，带动和引领佛山市制造业向高水平领域发展，以实现我市产品质量水平明显提升，推动佛山品牌、佛山产品更好地走出去。</w:t>
      </w:r>
    </w:p>
    <w:p>
      <w:pPr>
        <w:widowControl/>
        <w:spacing w:line="720" w:lineRule="auto"/>
        <w:rPr>
          <w:sz w:val="28"/>
          <w:szCs w:val="28"/>
          <w:lang w:eastAsia="zh-CN"/>
        </w:rPr>
      </w:pPr>
      <w:r>
        <w:rPr>
          <w:rFonts w:hint="eastAsia" w:ascii="黑体" w:hAnsi="宋体" w:eastAsia="黑体" w:cs="黑体"/>
          <w:sz w:val="28"/>
          <w:szCs w:val="28"/>
          <w:lang w:eastAsia="zh-CN"/>
        </w:rPr>
        <w:t>2    标准制定工作概况</w:t>
      </w:r>
    </w:p>
    <w:p>
      <w:pPr>
        <w:widowControl/>
        <w:spacing w:line="720" w:lineRule="auto"/>
        <w:rPr>
          <w:rFonts w:ascii="黑体" w:hAnsi="宋体" w:eastAsia="黑体" w:cs="黑体"/>
          <w:sz w:val="28"/>
          <w:szCs w:val="28"/>
          <w:lang w:eastAsia="zh-CN"/>
        </w:rPr>
      </w:pPr>
      <w:r>
        <w:rPr>
          <w:rFonts w:hint="eastAsia" w:ascii="黑体" w:hAnsi="宋体" w:eastAsia="黑体" w:cs="黑体"/>
          <w:sz w:val="28"/>
          <w:szCs w:val="28"/>
          <w:lang w:eastAsia="zh-CN"/>
        </w:rPr>
        <w:t>2.1  准备工作</w:t>
      </w:r>
    </w:p>
    <w:p>
      <w:pPr>
        <w:widowControl/>
        <w:spacing w:line="360" w:lineRule="auto"/>
        <w:ind w:firstLine="560" w:firstLineChars="200"/>
        <w:jc w:val="both"/>
        <w:rPr>
          <w:rFonts w:ascii="仿宋" w:hAnsi="仿宋" w:eastAsia="仿宋" w:cs="仿宋"/>
          <w:sz w:val="28"/>
          <w:szCs w:val="28"/>
          <w:lang w:eastAsia="zh-CN"/>
        </w:rPr>
      </w:pPr>
      <w:bookmarkStart w:id="0" w:name="_Hlk130890499"/>
      <w:bookmarkStart w:id="1" w:name="_Hlk130890723"/>
      <w:r>
        <w:rPr>
          <w:rFonts w:hint="eastAsia" w:ascii="仿宋" w:hAnsi="仿宋" w:eastAsia="仿宋" w:cs="仿宋"/>
          <w:sz w:val="28"/>
          <w:szCs w:val="28"/>
          <w:lang w:eastAsia="zh-CN"/>
        </w:rPr>
        <w:t>根据佛山市市场监督管理局对佛山标准推进工作的计划和时间要求，在佛山市佛山标准与卓越绩效管理促进会的指导和管理下，为更好地开展编制工作，</w:t>
      </w:r>
      <w:r>
        <w:rPr>
          <w:rFonts w:hint="eastAsia" w:ascii="仿宋" w:hAnsi="仿宋" w:eastAsia="仿宋" w:cs="仿宋"/>
          <w:sz w:val="28"/>
          <w:szCs w:val="28"/>
          <w:lang w:val="en-US" w:eastAsia="zh-CN"/>
        </w:rPr>
        <w:t>广东星星制冷设备</w:t>
      </w:r>
      <w:r>
        <w:rPr>
          <w:rFonts w:hint="eastAsia" w:ascii="仿宋" w:hAnsi="仿宋" w:eastAsia="仿宋" w:cs="仿宋"/>
          <w:sz w:val="28"/>
          <w:szCs w:val="28"/>
          <w:lang w:eastAsia="zh-CN"/>
        </w:rPr>
        <w:t>有限公司、佛山市顺德区质量技术监督标准与编码所到访企业召开标准起草讨论会，成立了标准工作组。</w:t>
      </w:r>
    </w:p>
    <w:p>
      <w:pPr>
        <w:widowControl/>
        <w:spacing w:line="360" w:lineRule="auto"/>
        <w:ind w:firstLine="560" w:firstLineChars="200"/>
        <w:jc w:val="both"/>
        <w:rPr>
          <w:rFonts w:ascii="仿宋" w:hAnsi="仿宋" w:eastAsia="仿宋" w:cs="仿宋"/>
          <w:sz w:val="28"/>
          <w:szCs w:val="28"/>
          <w:lang w:eastAsia="zh-CN"/>
        </w:rPr>
      </w:pPr>
      <w:r>
        <w:rPr>
          <w:rFonts w:hint="eastAsia" w:ascii="仿宋" w:hAnsi="仿宋" w:eastAsia="仿宋" w:cs="仿宋"/>
          <w:sz w:val="28"/>
          <w:szCs w:val="28"/>
          <w:lang w:val="en-US" w:eastAsia="zh-CN"/>
        </w:rPr>
        <w:t>广东星星制冷设备</w:t>
      </w:r>
      <w:r>
        <w:rPr>
          <w:rFonts w:hint="eastAsia" w:ascii="仿宋" w:hAnsi="仿宋" w:eastAsia="仿宋" w:cs="仿宋"/>
          <w:sz w:val="28"/>
          <w:szCs w:val="28"/>
          <w:lang w:eastAsia="zh-CN"/>
        </w:rPr>
        <w:t>有限公司、佛山市顺德区质量技术监督标准与编码所主要</w:t>
      </w:r>
      <w:r>
        <w:rPr>
          <w:rFonts w:ascii="仿宋" w:hAnsi="仿宋" w:eastAsia="仿宋" w:cs="仿宋"/>
          <w:sz w:val="28"/>
          <w:szCs w:val="28"/>
          <w:lang w:eastAsia="zh-CN"/>
        </w:rPr>
        <w:t>负责</w:t>
      </w:r>
      <w:r>
        <w:rPr>
          <w:rFonts w:hint="eastAsia" w:ascii="仿宋" w:hAnsi="仿宋" w:eastAsia="仿宋" w:cs="仿宋"/>
          <w:sz w:val="28"/>
          <w:szCs w:val="28"/>
          <w:lang w:eastAsia="zh-CN"/>
        </w:rPr>
        <w:t>确定标准研制对应的产品类别，针对产品技术发展情况和用户痛点问题明确关键指标，</w:t>
      </w:r>
      <w:r>
        <w:rPr>
          <w:rFonts w:ascii="仿宋" w:hAnsi="仿宋" w:eastAsia="仿宋" w:cs="仿宋"/>
          <w:sz w:val="28"/>
          <w:szCs w:val="28"/>
          <w:lang w:eastAsia="zh-CN"/>
        </w:rPr>
        <w:t>收集企业现有产品技术性能参数，查阅国内外相关产品的技术文档、标准、专利，形成相关的标准集合。对比国内外等同类产品标准的有关条款，编制标准草案，组织</w:t>
      </w:r>
      <w:r>
        <w:rPr>
          <w:rFonts w:hint="eastAsia" w:ascii="仿宋" w:hAnsi="仿宋" w:eastAsia="仿宋" w:cs="仿宋"/>
          <w:sz w:val="28"/>
          <w:szCs w:val="28"/>
          <w:lang w:eastAsia="zh-CN"/>
        </w:rPr>
        <w:t>工作人员到企业现场核实验证指标，策划标准研讨、公开</w:t>
      </w:r>
      <w:r>
        <w:rPr>
          <w:rFonts w:ascii="仿宋" w:hAnsi="仿宋" w:eastAsia="仿宋" w:cs="仿宋"/>
          <w:sz w:val="28"/>
          <w:szCs w:val="28"/>
          <w:lang w:eastAsia="zh-CN"/>
        </w:rPr>
        <w:t>征求标准意见等</w:t>
      </w:r>
      <w:r>
        <w:rPr>
          <w:rFonts w:hint="eastAsia" w:ascii="仿宋" w:hAnsi="仿宋" w:eastAsia="仿宋" w:cs="仿宋"/>
          <w:sz w:val="28"/>
          <w:szCs w:val="28"/>
          <w:lang w:eastAsia="zh-CN"/>
        </w:rPr>
        <w:t>前期准备工作。并根据相关工作内容安排了工作计划，大致内容如下：</w:t>
      </w:r>
    </w:p>
    <w:p>
      <w:pPr>
        <w:widowControl/>
        <w:spacing w:line="360" w:lineRule="auto"/>
        <w:ind w:firstLine="560" w:firstLineChars="200"/>
        <w:jc w:val="both"/>
        <w:rPr>
          <w:rFonts w:ascii="仿宋" w:hAnsi="仿宋" w:eastAsia="仿宋" w:cs="仿宋"/>
          <w:sz w:val="28"/>
          <w:szCs w:val="28"/>
          <w:lang w:eastAsia="zh-CN"/>
        </w:rPr>
      </w:pPr>
      <w:r>
        <w:rPr>
          <w:rFonts w:hint="eastAsia" w:ascii="仿宋" w:hAnsi="仿宋" w:eastAsia="仿宋" w:cs="仿宋"/>
          <w:sz w:val="28"/>
          <w:szCs w:val="28"/>
          <w:lang w:eastAsia="zh-CN"/>
        </w:rPr>
        <w:t>1）</w:t>
      </w:r>
      <w:r>
        <w:rPr>
          <w:rFonts w:ascii="仿宋" w:hAnsi="仿宋" w:eastAsia="仿宋" w:cs="仿宋"/>
          <w:sz w:val="28"/>
          <w:szCs w:val="28"/>
          <w:lang w:eastAsia="zh-CN"/>
        </w:rPr>
        <w:t>2024</w:t>
      </w:r>
      <w:r>
        <w:rPr>
          <w:rFonts w:hint="eastAsia" w:ascii="仿宋" w:hAnsi="仿宋" w:eastAsia="仿宋" w:cs="仿宋"/>
          <w:sz w:val="28"/>
          <w:szCs w:val="28"/>
          <w:lang w:eastAsia="zh-CN"/>
        </w:rPr>
        <w:t>年</w:t>
      </w:r>
      <w:r>
        <w:rPr>
          <w:rFonts w:hint="eastAsia" w:ascii="仿宋" w:hAnsi="仿宋" w:eastAsia="仿宋" w:cs="仿宋"/>
          <w:sz w:val="28"/>
          <w:szCs w:val="28"/>
          <w:lang w:val="en-US" w:eastAsia="zh-CN"/>
        </w:rPr>
        <w:t>5</w:t>
      </w:r>
      <w:r>
        <w:rPr>
          <w:rFonts w:hint="eastAsia" w:ascii="仿宋" w:hAnsi="仿宋" w:eastAsia="仿宋" w:cs="仿宋"/>
          <w:sz w:val="28"/>
          <w:szCs w:val="28"/>
          <w:lang w:eastAsia="zh-CN"/>
        </w:rPr>
        <w:t>月调研与前期准备阶段：完成行业调研和相关标准、用户痛点问题的收集整理，并组织到访</w:t>
      </w:r>
      <w:r>
        <w:rPr>
          <w:rFonts w:hint="eastAsia" w:ascii="仿宋" w:hAnsi="仿宋" w:eastAsia="仿宋" w:cs="仿宋"/>
          <w:sz w:val="28"/>
          <w:szCs w:val="28"/>
          <w:lang w:val="en-US" w:eastAsia="zh-CN"/>
        </w:rPr>
        <w:t>广东星星制冷设备</w:t>
      </w:r>
      <w:r>
        <w:rPr>
          <w:rFonts w:hint="eastAsia" w:ascii="仿宋" w:hAnsi="仿宋" w:eastAsia="仿宋" w:cs="仿宋"/>
          <w:sz w:val="28"/>
          <w:szCs w:val="28"/>
          <w:lang w:eastAsia="zh-CN"/>
        </w:rPr>
        <w:t>有限公司；</w:t>
      </w:r>
    </w:p>
    <w:p>
      <w:pPr>
        <w:widowControl/>
        <w:spacing w:line="360" w:lineRule="auto"/>
        <w:ind w:firstLine="560" w:firstLineChars="200"/>
        <w:jc w:val="both"/>
        <w:rPr>
          <w:rFonts w:ascii="仿宋" w:hAnsi="仿宋" w:eastAsia="仿宋" w:cs="仿宋"/>
          <w:sz w:val="28"/>
          <w:szCs w:val="28"/>
          <w:lang w:eastAsia="zh-CN"/>
        </w:rPr>
      </w:pPr>
      <w:r>
        <w:rPr>
          <w:rFonts w:hint="eastAsia" w:ascii="仿宋" w:hAnsi="仿宋" w:eastAsia="仿宋" w:cs="仿宋"/>
          <w:sz w:val="28"/>
          <w:szCs w:val="28"/>
          <w:lang w:eastAsia="zh-CN"/>
        </w:rPr>
        <w:t>2）</w:t>
      </w:r>
      <w:r>
        <w:rPr>
          <w:rFonts w:ascii="仿宋" w:hAnsi="仿宋" w:eastAsia="仿宋" w:cs="仿宋"/>
          <w:sz w:val="28"/>
          <w:szCs w:val="28"/>
          <w:lang w:eastAsia="zh-CN"/>
        </w:rPr>
        <w:t>2024</w:t>
      </w:r>
      <w:r>
        <w:rPr>
          <w:rFonts w:hint="eastAsia" w:ascii="仿宋" w:hAnsi="仿宋" w:eastAsia="仿宋" w:cs="仿宋"/>
          <w:sz w:val="28"/>
          <w:szCs w:val="28"/>
          <w:lang w:eastAsia="zh-CN"/>
        </w:rPr>
        <w:t>年</w:t>
      </w:r>
      <w:r>
        <w:rPr>
          <w:rFonts w:hint="eastAsia" w:ascii="仿宋" w:hAnsi="仿宋" w:eastAsia="仿宋" w:cs="仿宋"/>
          <w:sz w:val="28"/>
          <w:szCs w:val="28"/>
          <w:lang w:val="en-US" w:eastAsia="zh-CN"/>
        </w:rPr>
        <w:t>6</w:t>
      </w:r>
      <w:r>
        <w:rPr>
          <w:rFonts w:hint="eastAsia" w:ascii="仿宋" w:hAnsi="仿宋" w:eastAsia="仿宋" w:cs="仿宋"/>
          <w:sz w:val="28"/>
          <w:szCs w:val="28"/>
          <w:lang w:eastAsia="zh-CN"/>
        </w:rPr>
        <w:t>月标准起草阶段：编写标准草案（工作组讨论稿）、编写标准编制说明；</w:t>
      </w:r>
    </w:p>
    <w:p>
      <w:pPr>
        <w:widowControl/>
        <w:spacing w:line="360" w:lineRule="auto"/>
        <w:ind w:firstLine="560" w:firstLineChars="200"/>
        <w:jc w:val="both"/>
        <w:rPr>
          <w:rFonts w:ascii="仿宋" w:hAnsi="仿宋" w:eastAsia="仿宋" w:cs="仿宋"/>
          <w:sz w:val="28"/>
          <w:szCs w:val="28"/>
          <w:lang w:eastAsia="zh-CN"/>
        </w:rPr>
      </w:pPr>
      <w:r>
        <w:rPr>
          <w:rFonts w:hint="eastAsia" w:ascii="仿宋" w:hAnsi="仿宋" w:eastAsia="仿宋" w:cs="仿宋"/>
          <w:sz w:val="28"/>
          <w:szCs w:val="28"/>
          <w:lang w:eastAsia="zh-CN"/>
        </w:rPr>
        <w:t>3）202</w:t>
      </w:r>
      <w:r>
        <w:rPr>
          <w:rFonts w:ascii="仿宋" w:hAnsi="仿宋" w:eastAsia="仿宋" w:cs="仿宋"/>
          <w:sz w:val="28"/>
          <w:szCs w:val="28"/>
          <w:lang w:eastAsia="zh-CN"/>
        </w:rPr>
        <w:t>4</w:t>
      </w:r>
      <w:r>
        <w:rPr>
          <w:rFonts w:hint="eastAsia" w:ascii="仿宋" w:hAnsi="仿宋" w:eastAsia="仿宋" w:cs="仿宋"/>
          <w:sz w:val="28"/>
          <w:szCs w:val="28"/>
          <w:lang w:eastAsia="zh-CN"/>
        </w:rPr>
        <w:t>年</w:t>
      </w:r>
      <w:r>
        <w:rPr>
          <w:rFonts w:hint="eastAsia" w:ascii="仿宋" w:hAnsi="仿宋" w:eastAsia="仿宋" w:cs="仿宋"/>
          <w:sz w:val="28"/>
          <w:szCs w:val="28"/>
          <w:lang w:val="en-US" w:eastAsia="zh-CN"/>
        </w:rPr>
        <w:t>6</w:t>
      </w: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7</w:t>
      </w:r>
      <w:r>
        <w:rPr>
          <w:rFonts w:hint="eastAsia" w:ascii="仿宋" w:hAnsi="仿宋" w:eastAsia="仿宋" w:cs="仿宋"/>
          <w:sz w:val="28"/>
          <w:szCs w:val="28"/>
          <w:lang w:eastAsia="zh-CN"/>
        </w:rPr>
        <w:t>月研讨与征求意见阶段：组织标准讨论工作群及现场沟通，并征求工作组和行业协会、专家意见，完成标准送审稿及其他评审材料；</w:t>
      </w:r>
    </w:p>
    <w:p>
      <w:pPr>
        <w:widowControl/>
        <w:spacing w:line="360" w:lineRule="auto"/>
        <w:ind w:firstLine="560" w:firstLineChars="200"/>
        <w:jc w:val="both"/>
        <w:rPr>
          <w:rFonts w:ascii="仿宋" w:hAnsi="仿宋" w:eastAsia="仿宋" w:cs="仿宋"/>
          <w:sz w:val="28"/>
          <w:szCs w:val="28"/>
          <w:lang w:eastAsia="zh-CN"/>
        </w:rPr>
      </w:pPr>
      <w:r>
        <w:rPr>
          <w:rFonts w:hint="eastAsia" w:ascii="仿宋" w:hAnsi="仿宋" w:eastAsia="仿宋" w:cs="仿宋"/>
          <w:sz w:val="28"/>
          <w:szCs w:val="28"/>
          <w:lang w:eastAsia="zh-CN"/>
        </w:rPr>
        <w:t>4）202</w:t>
      </w:r>
      <w:r>
        <w:rPr>
          <w:rFonts w:ascii="仿宋" w:hAnsi="仿宋" w:eastAsia="仿宋" w:cs="仿宋"/>
          <w:sz w:val="28"/>
          <w:szCs w:val="28"/>
          <w:lang w:eastAsia="zh-CN"/>
        </w:rPr>
        <w:t>4</w:t>
      </w:r>
      <w:r>
        <w:rPr>
          <w:rFonts w:hint="eastAsia" w:ascii="仿宋" w:hAnsi="仿宋" w:eastAsia="仿宋" w:cs="仿宋"/>
          <w:sz w:val="28"/>
          <w:szCs w:val="28"/>
          <w:lang w:eastAsia="zh-CN"/>
        </w:rPr>
        <w:t>年</w:t>
      </w:r>
      <w:r>
        <w:rPr>
          <w:rFonts w:hint="eastAsia" w:ascii="仿宋" w:hAnsi="仿宋" w:eastAsia="仿宋" w:cs="仿宋"/>
          <w:sz w:val="28"/>
          <w:szCs w:val="28"/>
          <w:lang w:val="en-US" w:eastAsia="zh-CN"/>
        </w:rPr>
        <w:t>7</w:t>
      </w:r>
      <w:r>
        <w:rPr>
          <w:rFonts w:hint="eastAsia" w:ascii="仿宋" w:hAnsi="仿宋" w:eastAsia="仿宋" w:cs="仿宋"/>
          <w:sz w:val="28"/>
          <w:szCs w:val="28"/>
          <w:lang w:eastAsia="zh-CN"/>
        </w:rPr>
        <w:t>月评审与发布阶段：组织召开标准评审会，根据专家意见，修改完善形成标准报批稿并发布。</w:t>
      </w:r>
      <w:bookmarkEnd w:id="0"/>
    </w:p>
    <w:p>
      <w:pPr>
        <w:widowControl/>
        <w:spacing w:line="720" w:lineRule="auto"/>
        <w:rPr>
          <w:rFonts w:ascii="黑体" w:hAnsi="宋体" w:eastAsia="黑体" w:cs="黑体"/>
          <w:sz w:val="28"/>
          <w:szCs w:val="28"/>
          <w:lang w:eastAsia="zh-CN"/>
        </w:rPr>
      </w:pPr>
      <w:r>
        <w:rPr>
          <w:rFonts w:hint="eastAsia" w:ascii="黑体" w:hAnsi="宋体" w:eastAsia="黑体" w:cs="黑体"/>
          <w:sz w:val="28"/>
          <w:szCs w:val="28"/>
          <w:lang w:eastAsia="zh-CN"/>
        </w:rPr>
        <w:t>2.2  标准草案编制</w:t>
      </w:r>
    </w:p>
    <w:p>
      <w:pPr>
        <w:widowControl/>
        <w:spacing w:line="360" w:lineRule="auto"/>
        <w:ind w:firstLine="560" w:firstLineChars="200"/>
        <w:jc w:val="both"/>
        <w:rPr>
          <w:rFonts w:ascii="仿宋" w:hAnsi="仿宋" w:eastAsia="仿宋" w:cs="仿宋"/>
          <w:sz w:val="28"/>
          <w:szCs w:val="28"/>
          <w:lang w:eastAsia="zh-CN"/>
        </w:rPr>
      </w:pPr>
      <w:r>
        <w:rPr>
          <w:rFonts w:hint="eastAsia" w:ascii="仿宋" w:hAnsi="仿宋" w:eastAsia="仿宋" w:cs="仿宋"/>
          <w:sz w:val="28"/>
          <w:szCs w:val="28"/>
          <w:lang w:eastAsia="zh-CN"/>
        </w:rPr>
        <w:t>于202</w:t>
      </w:r>
      <w:r>
        <w:rPr>
          <w:rFonts w:ascii="仿宋" w:hAnsi="仿宋" w:eastAsia="仿宋" w:cs="仿宋"/>
          <w:sz w:val="28"/>
          <w:szCs w:val="28"/>
          <w:lang w:eastAsia="zh-CN"/>
        </w:rPr>
        <w:t>4</w:t>
      </w:r>
      <w:r>
        <w:rPr>
          <w:rFonts w:hint="eastAsia" w:ascii="仿宋" w:hAnsi="仿宋" w:eastAsia="仿宋" w:cs="仿宋"/>
          <w:sz w:val="28"/>
          <w:szCs w:val="28"/>
          <w:lang w:eastAsia="zh-CN"/>
        </w:rPr>
        <w:t>年</w:t>
      </w:r>
      <w:r>
        <w:rPr>
          <w:rFonts w:hint="eastAsia" w:ascii="仿宋" w:hAnsi="仿宋" w:eastAsia="仿宋" w:cs="仿宋"/>
          <w:sz w:val="28"/>
          <w:szCs w:val="28"/>
          <w:lang w:val="en-US" w:eastAsia="zh-CN"/>
        </w:rPr>
        <w:t>5</w:t>
      </w:r>
      <w:r>
        <w:rPr>
          <w:rFonts w:hint="eastAsia" w:ascii="仿宋" w:hAnsi="仿宋" w:eastAsia="仿宋" w:cs="仿宋"/>
          <w:sz w:val="28"/>
          <w:szCs w:val="28"/>
          <w:lang w:eastAsia="zh-CN"/>
        </w:rPr>
        <w:t>月启动标准草案研制工作，结合前期准备工作成果，征求起草单位意见，充分考虑佛山标准的编制要求、编制理念和定位要求等，体现了标准的先进性。具体说明如下：</w:t>
      </w:r>
    </w:p>
    <w:p>
      <w:pPr>
        <w:widowControl/>
        <w:numPr>
          <w:ilvl w:val="0"/>
          <w:numId w:val="8"/>
        </w:numPr>
        <w:spacing w:line="360" w:lineRule="auto"/>
        <w:ind w:firstLine="560" w:firstLineChars="200"/>
        <w:jc w:val="both"/>
        <w:rPr>
          <w:rFonts w:ascii="仿宋" w:hAnsi="仿宋" w:eastAsia="仿宋" w:cs="仿宋"/>
          <w:sz w:val="28"/>
          <w:szCs w:val="28"/>
          <w:lang w:eastAsia="zh-CN"/>
        </w:rPr>
      </w:pPr>
      <w:bookmarkStart w:id="2" w:name="_Hlk130891623"/>
      <w:r>
        <w:rPr>
          <w:rFonts w:hint="eastAsia" w:ascii="仿宋" w:hAnsi="仿宋" w:eastAsia="仿宋" w:cs="仿宋"/>
          <w:sz w:val="28"/>
          <w:szCs w:val="28"/>
          <w:lang w:eastAsia="zh-CN"/>
        </w:rPr>
        <w:t>优化基础指标，提升关键指标</w:t>
      </w:r>
      <w:bookmarkEnd w:id="2"/>
    </w:p>
    <w:p>
      <w:pPr>
        <w:widowControl/>
        <w:spacing w:line="360" w:lineRule="auto"/>
        <w:ind w:firstLine="560" w:firstLineChars="200"/>
        <w:jc w:val="both"/>
        <w:rPr>
          <w:rFonts w:ascii="仿宋" w:hAnsi="仿宋" w:eastAsia="仿宋" w:cs="仿宋"/>
          <w:sz w:val="28"/>
          <w:szCs w:val="28"/>
          <w:lang w:eastAsia="zh-CN"/>
        </w:rPr>
      </w:pPr>
      <w:r>
        <w:rPr>
          <w:rFonts w:hint="eastAsia" w:ascii="仿宋" w:hAnsi="仿宋" w:eastAsia="仿宋" w:cs="仿宋"/>
          <w:sz w:val="28"/>
          <w:szCs w:val="28"/>
          <w:lang w:eastAsia="zh-CN"/>
        </w:rPr>
        <w:t>结合相关标准及信息收集、分析、比对，主要在国家标准的基础上，对耗电量、能效指数、噪声等指标进行提升，主要是为进一步保证产品稳定性、可靠性和节能性环保性和卫生安全性。</w:t>
      </w:r>
    </w:p>
    <w:p>
      <w:pPr>
        <w:widowControl/>
        <w:spacing w:line="360" w:lineRule="auto"/>
        <w:ind w:firstLine="560" w:firstLineChars="200"/>
        <w:jc w:val="both"/>
        <w:rPr>
          <w:rFonts w:ascii="仿宋" w:hAnsi="仿宋" w:eastAsia="仿宋" w:cs="仿宋"/>
          <w:sz w:val="28"/>
          <w:szCs w:val="28"/>
          <w:lang w:eastAsia="zh-CN"/>
        </w:rPr>
      </w:pPr>
      <w:r>
        <w:rPr>
          <w:rFonts w:ascii="仿宋" w:hAnsi="仿宋" w:eastAsia="仿宋" w:cs="仿宋"/>
          <w:sz w:val="28"/>
          <w:szCs w:val="28"/>
          <w:lang w:eastAsia="zh-CN"/>
        </w:rPr>
        <w:t>2</w:t>
      </w:r>
      <w:r>
        <w:rPr>
          <w:rFonts w:hint="eastAsia" w:ascii="仿宋" w:hAnsi="仿宋" w:eastAsia="仿宋" w:cs="仿宋"/>
          <w:sz w:val="28"/>
          <w:szCs w:val="28"/>
          <w:lang w:eastAsia="zh-CN"/>
        </w:rPr>
        <w:t>）新增指标</w:t>
      </w:r>
    </w:p>
    <w:p>
      <w:pPr>
        <w:spacing w:line="360" w:lineRule="auto"/>
        <w:ind w:firstLine="560" w:firstLineChars="200"/>
        <w:rPr>
          <w:rFonts w:ascii="仿宋" w:hAnsi="仿宋" w:eastAsia="仿宋" w:cs="仿宋"/>
          <w:sz w:val="28"/>
          <w:szCs w:val="28"/>
          <w:lang w:eastAsia="zh-CN"/>
        </w:rPr>
      </w:pPr>
      <w:r>
        <w:rPr>
          <w:rFonts w:hint="eastAsia" w:ascii="仿宋" w:hAnsi="仿宋" w:eastAsia="仿宋" w:cs="仿宋"/>
          <w:sz w:val="28"/>
          <w:szCs w:val="28"/>
          <w:lang w:eastAsia="zh-CN"/>
        </w:rPr>
        <w:t>结合消费者意见反馈、行业相关数据收集，在国家标准的基础上，新增了制冷剂类型、限用物质、食品接触材料安全、可再生利用率及抗菌等指标，主要是为进一步体现产品的安全卫生性和绿色环保性。</w:t>
      </w:r>
    </w:p>
    <w:p>
      <w:pPr>
        <w:widowControl/>
        <w:spacing w:line="360" w:lineRule="auto"/>
        <w:ind w:firstLine="560" w:firstLineChars="200"/>
        <w:jc w:val="both"/>
        <w:rPr>
          <w:rFonts w:ascii="仿宋" w:hAnsi="仿宋" w:eastAsia="仿宋" w:cs="仿宋"/>
          <w:sz w:val="28"/>
          <w:szCs w:val="28"/>
          <w:lang w:eastAsia="zh-CN"/>
        </w:rPr>
      </w:pPr>
      <w:r>
        <w:rPr>
          <w:rFonts w:ascii="仿宋" w:hAnsi="仿宋" w:eastAsia="仿宋" w:cs="仿宋"/>
          <w:sz w:val="28"/>
          <w:szCs w:val="28"/>
          <w:lang w:eastAsia="zh-CN"/>
        </w:rPr>
        <w:t>3</w:t>
      </w:r>
      <w:r>
        <w:rPr>
          <w:rFonts w:hint="eastAsia" w:ascii="仿宋" w:hAnsi="仿宋" w:eastAsia="仿宋" w:cs="仿宋"/>
          <w:sz w:val="28"/>
          <w:szCs w:val="28"/>
          <w:lang w:eastAsia="zh-CN"/>
        </w:rPr>
        <w:t>）规定试验方法</w:t>
      </w:r>
    </w:p>
    <w:p>
      <w:pPr>
        <w:widowControl/>
        <w:spacing w:line="360" w:lineRule="auto"/>
        <w:ind w:firstLine="560" w:firstLineChars="200"/>
        <w:jc w:val="both"/>
        <w:rPr>
          <w:rFonts w:ascii="仿宋" w:hAnsi="仿宋" w:eastAsia="仿宋" w:cs="仿宋"/>
          <w:sz w:val="28"/>
          <w:szCs w:val="28"/>
          <w:lang w:eastAsia="zh-CN"/>
        </w:rPr>
      </w:pPr>
      <w:r>
        <w:rPr>
          <w:rFonts w:hint="eastAsia" w:ascii="仿宋" w:hAnsi="仿宋" w:eastAsia="仿宋" w:cs="仿宋"/>
          <w:sz w:val="28"/>
          <w:szCs w:val="28"/>
          <w:lang w:eastAsia="zh-CN"/>
        </w:rPr>
        <w:t>参照相关国家标准、行业标准，规定了试验方法。</w:t>
      </w:r>
    </w:p>
    <w:p>
      <w:pPr>
        <w:widowControl/>
        <w:spacing w:line="720" w:lineRule="auto"/>
        <w:rPr>
          <w:rFonts w:ascii="黑体" w:hAnsi="宋体" w:eastAsia="黑体" w:cs="黑体"/>
          <w:sz w:val="28"/>
          <w:szCs w:val="28"/>
          <w:lang w:eastAsia="zh-CN"/>
        </w:rPr>
      </w:pPr>
      <w:r>
        <w:rPr>
          <w:rFonts w:hint="eastAsia" w:ascii="黑体" w:hAnsi="宋体" w:eastAsia="黑体" w:cs="黑体"/>
          <w:sz w:val="28"/>
          <w:szCs w:val="28"/>
          <w:lang w:eastAsia="zh-CN"/>
        </w:rPr>
        <w:t>2.3  标准草案研讨</w:t>
      </w:r>
    </w:p>
    <w:p>
      <w:pPr>
        <w:widowControl/>
        <w:spacing w:line="360" w:lineRule="auto"/>
        <w:ind w:firstLine="560" w:firstLineChars="200"/>
        <w:jc w:val="both"/>
        <w:rPr>
          <w:rFonts w:ascii="仿宋" w:hAnsi="仿宋" w:eastAsia="仿宋" w:cs="仿宋"/>
          <w:sz w:val="28"/>
          <w:szCs w:val="28"/>
          <w:lang w:eastAsia="zh-CN"/>
        </w:rPr>
      </w:pPr>
      <w:r>
        <w:rPr>
          <w:rFonts w:hint="eastAsia" w:ascii="仿宋" w:hAnsi="仿宋" w:eastAsia="仿宋" w:cs="仿宋"/>
          <w:sz w:val="28"/>
          <w:szCs w:val="28"/>
          <w:lang w:eastAsia="zh-CN"/>
        </w:rPr>
        <w:t>于202</w:t>
      </w:r>
      <w:r>
        <w:rPr>
          <w:rFonts w:ascii="仿宋" w:hAnsi="仿宋" w:eastAsia="仿宋" w:cs="仿宋"/>
          <w:sz w:val="28"/>
          <w:szCs w:val="28"/>
          <w:lang w:eastAsia="zh-CN"/>
        </w:rPr>
        <w:t>4</w:t>
      </w:r>
      <w:r>
        <w:rPr>
          <w:rFonts w:hint="eastAsia" w:ascii="仿宋" w:hAnsi="仿宋" w:eastAsia="仿宋" w:cs="仿宋"/>
          <w:sz w:val="28"/>
          <w:szCs w:val="28"/>
          <w:lang w:eastAsia="zh-CN"/>
        </w:rPr>
        <w:t>年</w:t>
      </w:r>
      <w:r>
        <w:rPr>
          <w:rFonts w:hint="eastAsia" w:ascii="仿宋" w:hAnsi="仿宋" w:eastAsia="仿宋" w:cs="仿宋"/>
          <w:sz w:val="28"/>
          <w:szCs w:val="28"/>
          <w:lang w:val="en-US" w:eastAsia="zh-CN"/>
        </w:rPr>
        <w:t>5</w:t>
      </w: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6</w:t>
      </w:r>
      <w:r>
        <w:rPr>
          <w:rFonts w:hint="eastAsia" w:ascii="仿宋" w:hAnsi="仿宋" w:eastAsia="仿宋" w:cs="仿宋"/>
          <w:sz w:val="28"/>
          <w:szCs w:val="28"/>
          <w:lang w:eastAsia="zh-CN"/>
        </w:rPr>
        <w:t>月组织了企业代表召开了线上线下标准讨论会、微信群内、电话讨论及企业现场讨论等方式，讨论主要内容如下：</w:t>
      </w:r>
    </w:p>
    <w:p>
      <w:pPr>
        <w:widowControl/>
        <w:numPr>
          <w:ilvl w:val="0"/>
          <w:numId w:val="9"/>
        </w:numPr>
        <w:spacing w:line="360" w:lineRule="auto"/>
        <w:ind w:firstLine="560" w:firstLineChars="200"/>
        <w:jc w:val="both"/>
        <w:rPr>
          <w:rFonts w:ascii="仿宋" w:hAnsi="仿宋" w:eastAsia="仿宋" w:cs="仿宋"/>
          <w:sz w:val="28"/>
          <w:szCs w:val="28"/>
          <w:lang w:eastAsia="zh-CN"/>
        </w:rPr>
      </w:pPr>
      <w:r>
        <w:rPr>
          <w:rFonts w:hint="eastAsia" w:ascii="仿宋" w:hAnsi="仿宋" w:eastAsia="仿宋" w:cs="仿宋"/>
          <w:sz w:val="28"/>
          <w:szCs w:val="28"/>
          <w:lang w:eastAsia="zh-CN"/>
        </w:rPr>
        <w:t>讨论了指标优化和提升的可行性</w:t>
      </w:r>
    </w:p>
    <w:p>
      <w:pPr>
        <w:widowControl/>
        <w:spacing w:line="360" w:lineRule="auto"/>
        <w:ind w:firstLine="560" w:firstLineChars="200"/>
        <w:jc w:val="both"/>
        <w:rPr>
          <w:rFonts w:ascii="仿宋" w:hAnsi="仿宋" w:eastAsia="仿宋" w:cs="仿宋"/>
          <w:sz w:val="28"/>
          <w:szCs w:val="28"/>
          <w:lang w:eastAsia="zh-CN"/>
        </w:rPr>
      </w:pPr>
      <w:r>
        <w:rPr>
          <w:rFonts w:hint="eastAsia" w:ascii="仿宋" w:hAnsi="仿宋" w:eastAsia="仿宋" w:cs="仿宋"/>
          <w:sz w:val="28"/>
          <w:szCs w:val="28"/>
          <w:lang w:eastAsia="zh-CN"/>
        </w:rPr>
        <w:t>针对标准草案中指标分类及提升哪几项关键指标等问题，企业代表一致认为可行，并逐一确认标准草案中提升的各个指标项。对于目前客户关注的耗电量、能效指数、噪声、安全、电磁兼容、限用物质、制冷剂类型、食品接触材料安全、可再生利用率及抗菌、智能化等指标，企业代表结合最近几年的检测数据和经验积累，给出了专业性的调整建议。</w:t>
      </w:r>
    </w:p>
    <w:p>
      <w:pPr>
        <w:widowControl/>
        <w:spacing w:line="360" w:lineRule="auto"/>
        <w:ind w:firstLine="560" w:firstLineChars="200"/>
        <w:jc w:val="both"/>
        <w:rPr>
          <w:rFonts w:ascii="仿宋" w:hAnsi="仿宋" w:eastAsia="仿宋" w:cs="仿宋"/>
          <w:sz w:val="28"/>
          <w:szCs w:val="28"/>
          <w:lang w:eastAsia="zh-CN"/>
        </w:rPr>
      </w:pPr>
      <w:r>
        <w:rPr>
          <w:rFonts w:ascii="仿宋" w:hAnsi="仿宋" w:eastAsia="仿宋" w:cs="仿宋"/>
          <w:sz w:val="28"/>
          <w:szCs w:val="28"/>
          <w:lang w:eastAsia="zh-CN"/>
        </w:rPr>
        <w:t>2</w:t>
      </w:r>
      <w:r>
        <w:rPr>
          <w:rFonts w:hint="eastAsia" w:ascii="仿宋" w:hAnsi="仿宋" w:eastAsia="仿宋" w:cs="仿宋"/>
          <w:sz w:val="28"/>
          <w:szCs w:val="28"/>
          <w:lang w:eastAsia="zh-CN"/>
        </w:rPr>
        <w:t>）讨论了指标新增的合理性</w:t>
      </w:r>
    </w:p>
    <w:p>
      <w:pPr>
        <w:widowControl/>
        <w:spacing w:line="360" w:lineRule="auto"/>
        <w:ind w:firstLine="560" w:firstLineChars="200"/>
        <w:jc w:val="both"/>
        <w:rPr>
          <w:rFonts w:ascii="仿宋" w:hAnsi="仿宋" w:eastAsia="仿宋" w:cs="仿宋"/>
          <w:sz w:val="28"/>
          <w:szCs w:val="28"/>
          <w:lang w:eastAsia="zh-CN"/>
        </w:rPr>
      </w:pPr>
      <w:r>
        <w:rPr>
          <w:rFonts w:hint="eastAsia" w:ascii="仿宋" w:hAnsi="仿宋" w:eastAsia="仿宋" w:cs="仿宋"/>
          <w:sz w:val="28"/>
          <w:szCs w:val="28"/>
          <w:lang w:eastAsia="zh-CN"/>
        </w:rPr>
        <w:t>针对标准草案中增加的限用物质、制冷剂类型、食品接触材料安全、可再生利用率、抗菌、智能化等相关指标，确认符合产品趋势、国家产业政策要求及市场导向，属合理增加项。</w:t>
      </w:r>
    </w:p>
    <w:p>
      <w:pPr>
        <w:widowControl/>
        <w:spacing w:line="360" w:lineRule="auto"/>
        <w:ind w:firstLine="560" w:firstLineChars="200"/>
        <w:jc w:val="both"/>
        <w:rPr>
          <w:rFonts w:ascii="仿宋" w:hAnsi="仿宋" w:eastAsia="仿宋" w:cs="仿宋"/>
          <w:sz w:val="28"/>
          <w:szCs w:val="28"/>
          <w:lang w:eastAsia="zh-CN"/>
        </w:rPr>
      </w:pPr>
      <w:r>
        <w:rPr>
          <w:rFonts w:hint="eastAsia" w:ascii="仿宋" w:hAnsi="仿宋" w:eastAsia="仿宋" w:cs="仿宋"/>
          <w:sz w:val="28"/>
          <w:szCs w:val="28"/>
          <w:lang w:eastAsia="zh-CN"/>
        </w:rPr>
        <w:t>3）调整了部分试验方法</w:t>
      </w:r>
    </w:p>
    <w:p>
      <w:pPr>
        <w:widowControl/>
        <w:spacing w:line="360" w:lineRule="auto"/>
        <w:ind w:firstLine="560" w:firstLineChars="200"/>
        <w:jc w:val="both"/>
        <w:rPr>
          <w:rFonts w:ascii="仿宋" w:hAnsi="仿宋" w:eastAsia="仿宋" w:cs="仿宋"/>
          <w:sz w:val="28"/>
          <w:szCs w:val="28"/>
          <w:lang w:eastAsia="zh-CN"/>
        </w:rPr>
      </w:pPr>
      <w:r>
        <w:rPr>
          <w:rFonts w:hint="eastAsia" w:ascii="仿宋" w:hAnsi="仿宋" w:eastAsia="仿宋" w:cs="仿宋"/>
          <w:sz w:val="28"/>
          <w:szCs w:val="28"/>
          <w:lang w:eastAsia="zh-CN"/>
        </w:rPr>
        <w:t>针对标准草案中的试验方法，提出了个别试验方法需要更新和调整，并对此给出了补充和修正的建议。</w:t>
      </w:r>
    </w:p>
    <w:p>
      <w:pPr>
        <w:widowControl/>
        <w:spacing w:line="720" w:lineRule="auto"/>
        <w:rPr>
          <w:rFonts w:ascii="黑体" w:hAnsi="宋体" w:eastAsia="黑体" w:cs="黑体"/>
          <w:sz w:val="28"/>
          <w:szCs w:val="28"/>
          <w:lang w:eastAsia="zh-CN"/>
        </w:rPr>
      </w:pPr>
      <w:r>
        <w:rPr>
          <w:rFonts w:hint="eastAsia" w:ascii="黑体" w:hAnsi="宋体" w:eastAsia="黑体" w:cs="黑体"/>
          <w:sz w:val="28"/>
          <w:szCs w:val="28"/>
          <w:lang w:eastAsia="zh-CN"/>
        </w:rPr>
        <w:t>2.4  征求意见情况</w:t>
      </w:r>
    </w:p>
    <w:p>
      <w:pPr>
        <w:widowControl/>
        <w:spacing w:line="360" w:lineRule="auto"/>
        <w:ind w:firstLine="560" w:firstLineChars="200"/>
        <w:rPr>
          <w:rFonts w:ascii="仿宋" w:hAnsi="仿宋" w:eastAsia="仿宋" w:cs="仿宋"/>
          <w:sz w:val="28"/>
          <w:szCs w:val="28"/>
          <w:lang w:eastAsia="zh-CN"/>
        </w:rPr>
      </w:pPr>
      <w:r>
        <w:rPr>
          <w:rFonts w:hint="eastAsia" w:ascii="仿宋" w:hAnsi="仿宋" w:eastAsia="仿宋" w:cs="仿宋"/>
          <w:sz w:val="28"/>
          <w:szCs w:val="28"/>
          <w:lang w:eastAsia="zh-CN"/>
        </w:rPr>
        <w:t>标准研讨会议后，对标准进行了修改，并在佛山标准公共平台及团体标准公共服务平台进行公开征求意见。</w:t>
      </w:r>
    </w:p>
    <w:p>
      <w:pPr>
        <w:widowControl/>
        <w:spacing w:line="720" w:lineRule="auto"/>
        <w:rPr>
          <w:rFonts w:ascii="黑体" w:hAnsi="宋体" w:eastAsia="黑体" w:cs="黑体"/>
          <w:sz w:val="28"/>
          <w:szCs w:val="28"/>
          <w:lang w:eastAsia="zh-CN"/>
        </w:rPr>
      </w:pPr>
      <w:r>
        <w:rPr>
          <w:rFonts w:hint="eastAsia" w:ascii="黑体" w:hAnsi="宋体" w:eastAsia="黑体" w:cs="黑体"/>
          <w:sz w:val="28"/>
          <w:szCs w:val="28"/>
          <w:lang w:eastAsia="zh-CN"/>
        </w:rPr>
        <w:t>2.5  重大分岐情况</w:t>
      </w:r>
    </w:p>
    <w:p>
      <w:pPr>
        <w:widowControl/>
        <w:spacing w:line="360" w:lineRule="auto"/>
        <w:ind w:firstLine="560" w:firstLineChars="200"/>
        <w:rPr>
          <w:rFonts w:ascii="仿宋" w:hAnsi="仿宋" w:eastAsia="仿宋" w:cs="仿宋"/>
          <w:sz w:val="28"/>
          <w:szCs w:val="28"/>
          <w:lang w:eastAsia="zh-CN"/>
        </w:rPr>
      </w:pPr>
      <w:r>
        <w:rPr>
          <w:rFonts w:hint="eastAsia" w:ascii="仿宋" w:hAnsi="仿宋" w:eastAsia="仿宋" w:cs="仿宋"/>
          <w:sz w:val="28"/>
          <w:szCs w:val="28"/>
          <w:lang w:eastAsia="zh-CN"/>
        </w:rPr>
        <w:t>无</w:t>
      </w:r>
    </w:p>
    <w:p>
      <w:pPr>
        <w:widowControl/>
        <w:spacing w:line="720" w:lineRule="auto"/>
        <w:rPr>
          <w:rFonts w:ascii="黑体" w:hAnsi="宋体" w:eastAsia="黑体" w:cs="黑体"/>
          <w:sz w:val="28"/>
          <w:szCs w:val="28"/>
          <w:lang w:eastAsia="zh-CN"/>
        </w:rPr>
      </w:pPr>
      <w:r>
        <w:rPr>
          <w:rFonts w:hint="eastAsia" w:ascii="黑体" w:hAnsi="宋体" w:eastAsia="黑体" w:cs="黑体"/>
          <w:sz w:val="28"/>
          <w:szCs w:val="28"/>
          <w:lang w:eastAsia="zh-CN"/>
        </w:rPr>
        <w:t>2.6  专家评审情况</w:t>
      </w:r>
    </w:p>
    <w:p>
      <w:pPr>
        <w:widowControl/>
        <w:spacing w:line="360" w:lineRule="auto"/>
        <w:ind w:firstLine="560" w:firstLineChars="200"/>
        <w:rPr>
          <w:rFonts w:ascii="仿宋" w:hAnsi="仿宋" w:eastAsia="仿宋" w:cs="仿宋"/>
          <w:sz w:val="28"/>
          <w:szCs w:val="28"/>
          <w:lang w:eastAsia="zh-CN"/>
        </w:rPr>
      </w:pPr>
      <w:r>
        <w:rPr>
          <w:rFonts w:hint="eastAsia" w:ascii="仿宋" w:hAnsi="仿宋" w:eastAsia="仿宋" w:cs="仿宋"/>
          <w:sz w:val="28"/>
          <w:szCs w:val="28"/>
          <w:lang w:eastAsia="zh-CN"/>
        </w:rPr>
        <w:t>于2</w:t>
      </w:r>
      <w:r>
        <w:rPr>
          <w:rFonts w:ascii="仿宋" w:hAnsi="仿宋" w:eastAsia="仿宋" w:cs="仿宋"/>
          <w:sz w:val="28"/>
          <w:szCs w:val="28"/>
          <w:lang w:eastAsia="zh-CN"/>
        </w:rPr>
        <w:t>024</w:t>
      </w:r>
      <w:r>
        <w:rPr>
          <w:rFonts w:hint="eastAsia" w:ascii="仿宋" w:hAnsi="仿宋" w:eastAsia="仿宋" w:cs="仿宋"/>
          <w:sz w:val="28"/>
          <w:szCs w:val="28"/>
          <w:lang w:eastAsia="zh-CN"/>
        </w:rPr>
        <w:t>年</w:t>
      </w:r>
      <w:r>
        <w:rPr>
          <w:rFonts w:hint="eastAsia" w:ascii="仿宋" w:hAnsi="仿宋" w:eastAsia="仿宋" w:cs="仿宋"/>
          <w:sz w:val="28"/>
          <w:szCs w:val="28"/>
          <w:lang w:val="en-US" w:eastAsia="zh-CN"/>
        </w:rPr>
        <w:t>7</w:t>
      </w:r>
      <w:r>
        <w:rPr>
          <w:rFonts w:hint="eastAsia" w:ascii="仿宋" w:hAnsi="仿宋" w:eastAsia="仿宋" w:cs="仿宋"/>
          <w:sz w:val="28"/>
          <w:szCs w:val="28"/>
          <w:lang w:eastAsia="zh-CN"/>
        </w:rPr>
        <w:t>月</w:t>
      </w:r>
      <w:r>
        <w:rPr>
          <w:rFonts w:hint="eastAsia" w:ascii="仿宋" w:hAnsi="仿宋" w:eastAsia="仿宋" w:cs="仿宋"/>
          <w:sz w:val="28"/>
          <w:szCs w:val="28"/>
          <w:lang w:val="en-US" w:eastAsia="zh-CN"/>
        </w:rPr>
        <w:t>XX</w:t>
      </w:r>
      <w:r>
        <w:rPr>
          <w:rFonts w:hint="eastAsia" w:ascii="仿宋" w:hAnsi="仿宋" w:eastAsia="仿宋" w:cs="仿宋"/>
          <w:sz w:val="28"/>
          <w:szCs w:val="28"/>
          <w:lang w:eastAsia="zh-CN"/>
        </w:rPr>
        <w:t>日，组织专家召开了标准定会，专家组听取了编制组的汇报，审阅了相关资料，对标准文本进行了认真、细致和充分的讨论。最后，专家组认为该标准达到国内领先、国际先进水平，</w:t>
      </w:r>
      <w:r>
        <w:rPr>
          <w:rFonts w:ascii="仿宋" w:hAnsi="仿宋" w:eastAsia="仿宋" w:cs="仿宋"/>
          <w:sz w:val="28"/>
          <w:szCs w:val="28"/>
          <w:lang w:eastAsia="zh-CN"/>
        </w:rPr>
        <w:t>一致</w:t>
      </w:r>
      <w:r>
        <w:rPr>
          <w:rFonts w:hint="eastAsia" w:ascii="仿宋" w:hAnsi="仿宋" w:eastAsia="仿宋" w:cs="仿宋"/>
          <w:sz w:val="28"/>
          <w:szCs w:val="28"/>
          <w:lang w:eastAsia="zh-CN"/>
        </w:rPr>
        <w:t>同意标准</w:t>
      </w:r>
      <w:r>
        <w:rPr>
          <w:rFonts w:ascii="仿宋" w:hAnsi="仿宋" w:eastAsia="仿宋" w:cs="仿宋"/>
          <w:sz w:val="28"/>
          <w:szCs w:val="28"/>
          <w:lang w:eastAsia="zh-CN"/>
        </w:rPr>
        <w:t>通过</w:t>
      </w:r>
      <w:r>
        <w:rPr>
          <w:rFonts w:hint="eastAsia" w:ascii="仿宋" w:hAnsi="仿宋" w:eastAsia="仿宋" w:cs="仿宋"/>
          <w:sz w:val="28"/>
          <w:szCs w:val="28"/>
          <w:lang w:eastAsia="zh-CN"/>
        </w:rPr>
        <w:t>审定。</w:t>
      </w:r>
    </w:p>
    <w:bookmarkEnd w:id="1"/>
    <w:p>
      <w:pPr>
        <w:widowControl/>
        <w:spacing w:line="720" w:lineRule="auto"/>
        <w:rPr>
          <w:rFonts w:ascii="黑体" w:hAnsi="宋体" w:eastAsia="黑体" w:cs="黑体"/>
          <w:sz w:val="28"/>
          <w:szCs w:val="28"/>
          <w:lang w:eastAsia="zh-CN"/>
        </w:rPr>
      </w:pPr>
      <w:r>
        <w:rPr>
          <w:rFonts w:hint="eastAsia" w:ascii="黑体" w:hAnsi="宋体" w:eastAsia="黑体" w:cs="黑体"/>
          <w:sz w:val="28"/>
          <w:szCs w:val="28"/>
          <w:lang w:eastAsia="zh-CN"/>
        </w:rPr>
        <w:t>3  标准编制原则、主要内容及确定依据</w:t>
      </w:r>
    </w:p>
    <w:p>
      <w:pPr>
        <w:widowControl/>
        <w:spacing w:line="720" w:lineRule="auto"/>
        <w:rPr>
          <w:rFonts w:ascii="黑体" w:hAnsi="宋体" w:eastAsia="黑体" w:cs="黑体"/>
          <w:sz w:val="28"/>
          <w:szCs w:val="28"/>
          <w:lang w:eastAsia="zh-CN"/>
        </w:rPr>
      </w:pPr>
      <w:r>
        <w:rPr>
          <w:rFonts w:hint="eastAsia" w:ascii="黑体" w:hAnsi="宋体" w:eastAsia="黑体" w:cs="黑体"/>
          <w:sz w:val="28"/>
          <w:szCs w:val="28"/>
          <w:lang w:eastAsia="zh-CN"/>
        </w:rPr>
        <w:t>3.1  编制原则</w:t>
      </w:r>
    </w:p>
    <w:p>
      <w:pPr>
        <w:widowControl/>
        <w:spacing w:line="360" w:lineRule="auto"/>
        <w:ind w:firstLine="560" w:firstLineChars="200"/>
        <w:jc w:val="both"/>
        <w:rPr>
          <w:rFonts w:ascii="仿宋" w:hAnsi="仿宋" w:eastAsia="仿宋" w:cs="仿宋"/>
          <w:sz w:val="28"/>
          <w:szCs w:val="28"/>
          <w:lang w:eastAsia="zh-CN"/>
        </w:rPr>
      </w:pPr>
      <w:r>
        <w:rPr>
          <w:rFonts w:ascii="仿宋" w:hAnsi="仿宋" w:eastAsia="仿宋" w:cs="仿宋"/>
          <w:sz w:val="28"/>
          <w:szCs w:val="28"/>
          <w:lang w:eastAsia="zh-CN"/>
        </w:rPr>
        <w:t>标准编制遵循</w:t>
      </w:r>
      <w:r>
        <w:rPr>
          <w:rFonts w:hint="eastAsia" w:ascii="仿宋" w:hAnsi="仿宋" w:eastAsia="仿宋" w:cs="仿宋"/>
          <w:sz w:val="28"/>
          <w:szCs w:val="28"/>
          <w:lang w:eastAsia="zh-CN"/>
        </w:rPr>
        <w:t>合规性、科学性、先进性、适用性并协调一致</w:t>
      </w:r>
      <w:r>
        <w:rPr>
          <w:rFonts w:ascii="仿宋" w:hAnsi="仿宋" w:eastAsia="仿宋" w:cs="仿宋"/>
          <w:sz w:val="28"/>
          <w:szCs w:val="28"/>
          <w:lang w:eastAsia="zh-CN"/>
        </w:rPr>
        <w:t>的原则，尽可能与国际通行标准接轨，注重标准的可操作性，本标准严格按照GB/T 1.1-2020《标准化工作导则 第1部分：标准化文件的结构和起草规则》的规定进行编写和表述。</w:t>
      </w:r>
    </w:p>
    <w:p>
      <w:pPr>
        <w:widowControl/>
        <w:spacing w:line="720" w:lineRule="auto"/>
        <w:rPr>
          <w:rFonts w:ascii="黑体" w:hAnsi="宋体" w:eastAsia="黑体" w:cs="黑体"/>
          <w:sz w:val="28"/>
          <w:szCs w:val="28"/>
          <w:lang w:eastAsia="zh-CN"/>
        </w:rPr>
      </w:pPr>
      <w:r>
        <w:rPr>
          <w:rFonts w:hint="eastAsia" w:ascii="黑体" w:hAnsi="宋体" w:eastAsia="黑体" w:cs="黑体"/>
          <w:sz w:val="28"/>
          <w:szCs w:val="28"/>
          <w:lang w:eastAsia="zh-CN"/>
        </w:rPr>
        <w:t>3.2  主要参考依据</w:t>
      </w:r>
    </w:p>
    <w:p>
      <w:pPr>
        <w:keepNext w:val="0"/>
        <w:keepLines w:val="0"/>
        <w:pageBreakBefore w:val="0"/>
        <w:widowControl/>
        <w:kinsoku/>
        <w:wordWrap/>
        <w:overflowPunct/>
        <w:topLinePunct w:val="0"/>
        <w:autoSpaceDE w:val="0"/>
        <w:autoSpaceDN w:val="0"/>
        <w:bidi w:val="0"/>
        <w:adjustRightInd/>
        <w:snapToGrid/>
        <w:spacing w:line="240" w:lineRule="auto"/>
        <w:ind w:firstLine="480" w:firstLineChars="200"/>
        <w:jc w:val="both"/>
        <w:textAlignment w:val="auto"/>
        <w:rPr>
          <w:rFonts w:ascii="仿宋" w:hAnsi="仿宋" w:eastAsia="仿宋" w:cs="仿宋"/>
          <w:sz w:val="24"/>
          <w:szCs w:val="24"/>
          <w:lang w:eastAsia="zh-CN"/>
        </w:rPr>
      </w:pPr>
      <w:r>
        <w:rPr>
          <w:rFonts w:ascii="仿宋" w:hAnsi="仿宋" w:eastAsia="仿宋" w:cs="仿宋"/>
          <w:sz w:val="24"/>
          <w:szCs w:val="24"/>
          <w:lang w:eastAsia="zh-CN"/>
        </w:rPr>
        <w:t>GB 4343.1  家用电器、电动工具和类似器具的电磁兼容要求  第l部分：发射</w:t>
      </w:r>
    </w:p>
    <w:p>
      <w:pPr>
        <w:keepNext w:val="0"/>
        <w:keepLines w:val="0"/>
        <w:pageBreakBefore w:val="0"/>
        <w:widowControl/>
        <w:kinsoku/>
        <w:wordWrap/>
        <w:overflowPunct/>
        <w:topLinePunct w:val="0"/>
        <w:autoSpaceDE w:val="0"/>
        <w:autoSpaceDN w:val="0"/>
        <w:bidi w:val="0"/>
        <w:adjustRightInd/>
        <w:snapToGrid/>
        <w:spacing w:line="240" w:lineRule="auto"/>
        <w:ind w:firstLine="480" w:firstLineChars="200"/>
        <w:jc w:val="both"/>
        <w:textAlignment w:val="auto"/>
        <w:rPr>
          <w:rFonts w:ascii="仿宋" w:hAnsi="仿宋" w:eastAsia="仿宋" w:cs="仿宋"/>
          <w:sz w:val="24"/>
          <w:szCs w:val="24"/>
          <w:lang w:eastAsia="zh-CN"/>
        </w:rPr>
      </w:pPr>
      <w:r>
        <w:rPr>
          <w:rFonts w:ascii="仿宋" w:hAnsi="仿宋" w:eastAsia="仿宋" w:cs="仿宋"/>
          <w:sz w:val="24"/>
          <w:szCs w:val="24"/>
          <w:lang w:eastAsia="zh-CN"/>
        </w:rPr>
        <w:t>GB 4706.1  家用和类似用途电器的安全  第l部分：通用要求</w:t>
      </w:r>
    </w:p>
    <w:p>
      <w:pPr>
        <w:keepNext w:val="0"/>
        <w:keepLines w:val="0"/>
        <w:pageBreakBefore w:val="0"/>
        <w:widowControl/>
        <w:kinsoku/>
        <w:wordWrap/>
        <w:overflowPunct/>
        <w:topLinePunct w:val="0"/>
        <w:autoSpaceDE w:val="0"/>
        <w:autoSpaceDN w:val="0"/>
        <w:bidi w:val="0"/>
        <w:adjustRightInd/>
        <w:snapToGrid/>
        <w:spacing w:line="240" w:lineRule="auto"/>
        <w:ind w:firstLine="480" w:firstLineChars="200"/>
        <w:jc w:val="both"/>
        <w:textAlignment w:val="auto"/>
        <w:rPr>
          <w:rFonts w:ascii="仿宋" w:hAnsi="仿宋" w:eastAsia="仿宋" w:cs="仿宋"/>
          <w:sz w:val="24"/>
          <w:szCs w:val="24"/>
          <w:lang w:eastAsia="zh-CN"/>
        </w:rPr>
      </w:pPr>
      <w:r>
        <w:rPr>
          <w:rFonts w:ascii="仿宋" w:hAnsi="仿宋" w:eastAsia="仿宋" w:cs="仿宋"/>
          <w:sz w:val="24"/>
          <w:szCs w:val="24"/>
          <w:lang w:eastAsia="zh-CN"/>
        </w:rPr>
        <w:t>GB 4706.102  家用和类似用途电器的安全带嵌装或远置式制冷剂冷凝装置或压缩机的商用制冷器具的特殊要求</w:t>
      </w:r>
    </w:p>
    <w:p>
      <w:pPr>
        <w:keepNext w:val="0"/>
        <w:keepLines w:val="0"/>
        <w:pageBreakBefore w:val="0"/>
        <w:widowControl/>
        <w:kinsoku/>
        <w:wordWrap/>
        <w:overflowPunct/>
        <w:topLinePunct w:val="0"/>
        <w:autoSpaceDE w:val="0"/>
        <w:autoSpaceDN w:val="0"/>
        <w:bidi w:val="0"/>
        <w:adjustRightInd/>
        <w:snapToGrid/>
        <w:spacing w:line="240" w:lineRule="auto"/>
        <w:ind w:firstLine="480" w:firstLineChars="200"/>
        <w:jc w:val="both"/>
        <w:textAlignment w:val="auto"/>
        <w:rPr>
          <w:rFonts w:ascii="仿宋" w:hAnsi="仿宋" w:eastAsia="仿宋" w:cs="仿宋"/>
          <w:sz w:val="24"/>
          <w:szCs w:val="24"/>
          <w:lang w:eastAsia="zh-CN"/>
        </w:rPr>
      </w:pPr>
      <w:r>
        <w:rPr>
          <w:rFonts w:ascii="仿宋" w:hAnsi="仿宋" w:eastAsia="仿宋" w:cs="仿宋"/>
          <w:sz w:val="24"/>
          <w:szCs w:val="24"/>
          <w:lang w:eastAsia="zh-CN"/>
        </w:rPr>
        <w:t>GB 4806.1  食品安全国家标准</w:t>
      </w:r>
      <w:r>
        <w:rPr>
          <w:rFonts w:hint="eastAsia" w:ascii="仿宋" w:hAnsi="仿宋" w:eastAsia="仿宋" w:cs="仿宋"/>
          <w:sz w:val="24"/>
          <w:szCs w:val="24"/>
          <w:lang w:eastAsia="zh-CN"/>
        </w:rPr>
        <w:t xml:space="preserve"> </w:t>
      </w:r>
      <w:r>
        <w:rPr>
          <w:rFonts w:ascii="仿宋" w:hAnsi="仿宋" w:eastAsia="仿宋" w:cs="仿宋"/>
          <w:sz w:val="24"/>
          <w:szCs w:val="24"/>
          <w:lang w:eastAsia="zh-CN"/>
        </w:rPr>
        <w:t>食品接触材料及制品通用安全要求</w:t>
      </w:r>
    </w:p>
    <w:p>
      <w:pPr>
        <w:keepNext w:val="0"/>
        <w:keepLines w:val="0"/>
        <w:pageBreakBefore w:val="0"/>
        <w:widowControl/>
        <w:kinsoku/>
        <w:wordWrap/>
        <w:overflowPunct/>
        <w:topLinePunct w:val="0"/>
        <w:autoSpaceDE w:val="0"/>
        <w:autoSpaceDN w:val="0"/>
        <w:bidi w:val="0"/>
        <w:adjustRightInd/>
        <w:snapToGrid/>
        <w:spacing w:line="240" w:lineRule="auto"/>
        <w:ind w:firstLine="480" w:firstLineChars="200"/>
        <w:jc w:val="both"/>
        <w:textAlignment w:val="auto"/>
        <w:rPr>
          <w:rFonts w:ascii="仿宋" w:hAnsi="仿宋" w:eastAsia="仿宋" w:cs="仿宋"/>
          <w:sz w:val="24"/>
          <w:szCs w:val="24"/>
          <w:lang w:eastAsia="zh-CN"/>
        </w:rPr>
      </w:pPr>
      <w:r>
        <w:rPr>
          <w:rFonts w:hint="eastAsia" w:ascii="仿宋" w:hAnsi="仿宋" w:eastAsia="仿宋" w:cs="仿宋"/>
          <w:sz w:val="24"/>
          <w:szCs w:val="24"/>
          <w:lang w:eastAsia="zh-CN"/>
        </w:rPr>
        <w:t>GB 4806.5  玻璃制品</w:t>
      </w:r>
    </w:p>
    <w:p>
      <w:pPr>
        <w:keepNext w:val="0"/>
        <w:keepLines w:val="0"/>
        <w:pageBreakBefore w:val="0"/>
        <w:widowControl/>
        <w:kinsoku/>
        <w:wordWrap/>
        <w:overflowPunct/>
        <w:topLinePunct w:val="0"/>
        <w:autoSpaceDE w:val="0"/>
        <w:autoSpaceDN w:val="0"/>
        <w:bidi w:val="0"/>
        <w:adjustRightInd/>
        <w:snapToGrid/>
        <w:spacing w:line="240" w:lineRule="auto"/>
        <w:ind w:firstLine="480" w:firstLineChars="200"/>
        <w:jc w:val="both"/>
        <w:textAlignment w:val="auto"/>
        <w:rPr>
          <w:rFonts w:ascii="仿宋" w:hAnsi="仿宋" w:eastAsia="仿宋" w:cs="仿宋"/>
          <w:sz w:val="24"/>
          <w:szCs w:val="24"/>
          <w:lang w:eastAsia="zh-CN"/>
        </w:rPr>
      </w:pPr>
      <w:r>
        <w:rPr>
          <w:rFonts w:hint="eastAsia" w:ascii="仿宋" w:hAnsi="仿宋" w:eastAsia="仿宋" w:cs="仿宋"/>
          <w:sz w:val="24"/>
          <w:szCs w:val="24"/>
          <w:lang w:eastAsia="zh-CN"/>
        </w:rPr>
        <w:t>GB 4806.6  食品接触用塑料树脂</w:t>
      </w:r>
    </w:p>
    <w:p>
      <w:pPr>
        <w:keepNext w:val="0"/>
        <w:keepLines w:val="0"/>
        <w:pageBreakBefore w:val="0"/>
        <w:widowControl/>
        <w:kinsoku/>
        <w:wordWrap/>
        <w:overflowPunct/>
        <w:topLinePunct w:val="0"/>
        <w:autoSpaceDE w:val="0"/>
        <w:autoSpaceDN w:val="0"/>
        <w:bidi w:val="0"/>
        <w:adjustRightInd/>
        <w:snapToGrid/>
        <w:spacing w:line="240" w:lineRule="auto"/>
        <w:ind w:firstLine="480" w:firstLineChars="200"/>
        <w:jc w:val="both"/>
        <w:textAlignment w:val="auto"/>
        <w:rPr>
          <w:rFonts w:ascii="仿宋" w:hAnsi="仿宋" w:eastAsia="仿宋" w:cs="仿宋"/>
          <w:sz w:val="24"/>
          <w:szCs w:val="24"/>
          <w:lang w:eastAsia="zh-CN"/>
        </w:rPr>
      </w:pPr>
      <w:r>
        <w:rPr>
          <w:rFonts w:hint="eastAsia" w:ascii="仿宋" w:hAnsi="仿宋" w:eastAsia="仿宋" w:cs="仿宋"/>
          <w:sz w:val="24"/>
          <w:szCs w:val="24"/>
          <w:lang w:eastAsia="zh-CN"/>
        </w:rPr>
        <w:t>GB 4806.7  食品安全国家标准 食品接触用塑料材料及制品</w:t>
      </w:r>
    </w:p>
    <w:p>
      <w:pPr>
        <w:keepNext w:val="0"/>
        <w:keepLines w:val="0"/>
        <w:pageBreakBefore w:val="0"/>
        <w:widowControl/>
        <w:kinsoku/>
        <w:wordWrap/>
        <w:overflowPunct/>
        <w:topLinePunct w:val="0"/>
        <w:autoSpaceDE w:val="0"/>
        <w:autoSpaceDN w:val="0"/>
        <w:bidi w:val="0"/>
        <w:adjustRightInd/>
        <w:snapToGrid/>
        <w:spacing w:line="240" w:lineRule="auto"/>
        <w:ind w:firstLine="480" w:firstLineChars="200"/>
        <w:jc w:val="both"/>
        <w:textAlignment w:val="auto"/>
        <w:rPr>
          <w:rFonts w:ascii="仿宋" w:hAnsi="仿宋" w:eastAsia="仿宋" w:cs="仿宋"/>
          <w:sz w:val="24"/>
          <w:szCs w:val="24"/>
          <w:lang w:eastAsia="zh-CN"/>
        </w:rPr>
      </w:pPr>
      <w:r>
        <w:rPr>
          <w:rFonts w:ascii="仿宋" w:hAnsi="仿宋" w:eastAsia="仿宋" w:cs="仿宋"/>
          <w:sz w:val="24"/>
          <w:szCs w:val="24"/>
          <w:lang w:eastAsia="zh-CN"/>
        </w:rPr>
        <w:t>GB 4806.9  食品安全国家标准</w:t>
      </w:r>
      <w:r>
        <w:rPr>
          <w:rFonts w:hint="eastAsia" w:ascii="仿宋" w:hAnsi="仿宋" w:eastAsia="仿宋" w:cs="仿宋"/>
          <w:sz w:val="24"/>
          <w:szCs w:val="24"/>
          <w:lang w:eastAsia="zh-CN"/>
        </w:rPr>
        <w:t xml:space="preserve"> </w:t>
      </w:r>
      <w:r>
        <w:rPr>
          <w:rFonts w:ascii="仿宋" w:hAnsi="仿宋" w:eastAsia="仿宋" w:cs="仿宋"/>
          <w:sz w:val="24"/>
          <w:szCs w:val="24"/>
          <w:lang w:eastAsia="zh-CN"/>
        </w:rPr>
        <w:t>食品接触用金属材料及制品</w:t>
      </w:r>
    </w:p>
    <w:p>
      <w:pPr>
        <w:keepNext w:val="0"/>
        <w:keepLines w:val="0"/>
        <w:pageBreakBefore w:val="0"/>
        <w:widowControl/>
        <w:kinsoku/>
        <w:wordWrap/>
        <w:overflowPunct/>
        <w:topLinePunct w:val="0"/>
        <w:autoSpaceDE w:val="0"/>
        <w:autoSpaceDN w:val="0"/>
        <w:bidi w:val="0"/>
        <w:adjustRightInd/>
        <w:snapToGrid/>
        <w:spacing w:line="240" w:lineRule="auto"/>
        <w:ind w:firstLine="480" w:firstLineChars="200"/>
        <w:jc w:val="both"/>
        <w:textAlignment w:val="auto"/>
        <w:rPr>
          <w:rFonts w:ascii="仿宋" w:hAnsi="仿宋" w:eastAsia="仿宋" w:cs="仿宋"/>
          <w:sz w:val="24"/>
          <w:szCs w:val="24"/>
          <w:lang w:eastAsia="zh-CN"/>
        </w:rPr>
      </w:pPr>
      <w:r>
        <w:rPr>
          <w:rFonts w:hint="eastAsia" w:ascii="仿宋" w:hAnsi="仿宋" w:eastAsia="仿宋" w:cs="仿宋"/>
          <w:sz w:val="24"/>
          <w:szCs w:val="24"/>
          <w:lang w:eastAsia="zh-CN"/>
        </w:rPr>
        <w:t>GB 4806.10  食品接触用涂料及涂层</w:t>
      </w:r>
    </w:p>
    <w:p>
      <w:pPr>
        <w:keepNext w:val="0"/>
        <w:keepLines w:val="0"/>
        <w:pageBreakBefore w:val="0"/>
        <w:widowControl/>
        <w:kinsoku/>
        <w:wordWrap/>
        <w:overflowPunct/>
        <w:topLinePunct w:val="0"/>
        <w:autoSpaceDE w:val="0"/>
        <w:autoSpaceDN w:val="0"/>
        <w:bidi w:val="0"/>
        <w:adjustRightInd/>
        <w:snapToGrid/>
        <w:spacing w:line="240" w:lineRule="auto"/>
        <w:ind w:firstLine="480" w:firstLineChars="200"/>
        <w:jc w:val="both"/>
        <w:textAlignment w:val="auto"/>
        <w:rPr>
          <w:rFonts w:ascii="仿宋" w:hAnsi="仿宋" w:eastAsia="仿宋" w:cs="仿宋"/>
          <w:sz w:val="24"/>
          <w:szCs w:val="24"/>
          <w:lang w:eastAsia="zh-CN"/>
        </w:rPr>
      </w:pPr>
      <w:r>
        <w:rPr>
          <w:rFonts w:hint="eastAsia" w:ascii="仿宋" w:hAnsi="仿宋" w:eastAsia="仿宋" w:cs="仿宋"/>
          <w:sz w:val="24"/>
          <w:szCs w:val="24"/>
          <w:lang w:eastAsia="zh-CN"/>
        </w:rPr>
        <w:t>GB/T 8059-2016  家用和类似用途制冷器具</w:t>
      </w:r>
    </w:p>
    <w:p>
      <w:pPr>
        <w:keepNext w:val="0"/>
        <w:keepLines w:val="0"/>
        <w:pageBreakBefore w:val="0"/>
        <w:widowControl/>
        <w:kinsoku/>
        <w:wordWrap/>
        <w:overflowPunct/>
        <w:topLinePunct w:val="0"/>
        <w:autoSpaceDE w:val="0"/>
        <w:autoSpaceDN w:val="0"/>
        <w:bidi w:val="0"/>
        <w:adjustRightInd/>
        <w:snapToGrid/>
        <w:spacing w:line="240" w:lineRule="auto"/>
        <w:ind w:firstLine="480" w:firstLineChars="200"/>
        <w:jc w:val="both"/>
        <w:textAlignment w:val="auto"/>
        <w:rPr>
          <w:rFonts w:ascii="仿宋" w:hAnsi="仿宋" w:eastAsia="仿宋" w:cs="仿宋"/>
          <w:sz w:val="24"/>
          <w:szCs w:val="24"/>
          <w:lang w:eastAsia="zh-CN"/>
        </w:rPr>
      </w:pPr>
      <w:r>
        <w:rPr>
          <w:rFonts w:ascii="仿宋" w:hAnsi="仿宋" w:eastAsia="仿宋" w:cs="仿宋"/>
          <w:sz w:val="24"/>
          <w:szCs w:val="24"/>
          <w:lang w:eastAsia="zh-CN"/>
        </w:rPr>
        <w:t>GB 17625.1  电磁兼容 限值 谐波电流发射限值(设备每相输入电流≤16A)</w:t>
      </w:r>
    </w:p>
    <w:p>
      <w:pPr>
        <w:keepNext w:val="0"/>
        <w:keepLines w:val="0"/>
        <w:pageBreakBefore w:val="0"/>
        <w:widowControl/>
        <w:kinsoku/>
        <w:wordWrap/>
        <w:overflowPunct/>
        <w:topLinePunct w:val="0"/>
        <w:autoSpaceDE w:val="0"/>
        <w:autoSpaceDN w:val="0"/>
        <w:bidi w:val="0"/>
        <w:adjustRightInd/>
        <w:snapToGrid/>
        <w:spacing w:line="240" w:lineRule="auto"/>
        <w:ind w:firstLine="480" w:firstLineChars="200"/>
        <w:jc w:val="both"/>
        <w:textAlignment w:val="auto"/>
        <w:rPr>
          <w:rFonts w:ascii="仿宋" w:hAnsi="仿宋" w:eastAsia="仿宋" w:cs="仿宋"/>
          <w:sz w:val="24"/>
          <w:szCs w:val="24"/>
          <w:lang w:eastAsia="zh-CN"/>
        </w:rPr>
      </w:pPr>
      <w:r>
        <w:rPr>
          <w:rFonts w:hint="eastAsia" w:ascii="仿宋" w:hAnsi="仿宋" w:eastAsia="仿宋" w:cs="仿宋"/>
          <w:sz w:val="24"/>
          <w:szCs w:val="24"/>
          <w:lang w:eastAsia="zh-CN"/>
        </w:rPr>
        <w:t>GB/T 21001.1-2015  制冷陈列柜 第1部分：术语</w:t>
      </w:r>
    </w:p>
    <w:p>
      <w:pPr>
        <w:keepNext w:val="0"/>
        <w:keepLines w:val="0"/>
        <w:pageBreakBefore w:val="0"/>
        <w:widowControl/>
        <w:kinsoku/>
        <w:wordWrap/>
        <w:overflowPunct/>
        <w:topLinePunct w:val="0"/>
        <w:autoSpaceDE w:val="0"/>
        <w:autoSpaceDN w:val="0"/>
        <w:bidi w:val="0"/>
        <w:adjustRightInd/>
        <w:snapToGrid/>
        <w:spacing w:line="240" w:lineRule="auto"/>
        <w:ind w:firstLine="480" w:firstLineChars="200"/>
        <w:jc w:val="both"/>
        <w:textAlignment w:val="auto"/>
        <w:rPr>
          <w:rFonts w:ascii="仿宋" w:hAnsi="仿宋" w:eastAsia="仿宋" w:cs="仿宋"/>
          <w:sz w:val="24"/>
          <w:szCs w:val="24"/>
          <w:lang w:eastAsia="zh-CN"/>
        </w:rPr>
      </w:pPr>
      <w:r>
        <w:rPr>
          <w:rFonts w:ascii="仿宋" w:hAnsi="仿宋" w:eastAsia="仿宋" w:cs="仿宋"/>
          <w:sz w:val="24"/>
          <w:szCs w:val="24"/>
          <w:lang w:eastAsia="zh-CN"/>
        </w:rPr>
        <w:t>GB/T 21001.2  制冷陈列柜 第2部分：分类、要求和试验条件</w:t>
      </w:r>
    </w:p>
    <w:p>
      <w:pPr>
        <w:keepNext w:val="0"/>
        <w:keepLines w:val="0"/>
        <w:pageBreakBefore w:val="0"/>
        <w:widowControl/>
        <w:kinsoku/>
        <w:wordWrap/>
        <w:overflowPunct/>
        <w:topLinePunct w:val="0"/>
        <w:autoSpaceDE w:val="0"/>
        <w:autoSpaceDN w:val="0"/>
        <w:bidi w:val="0"/>
        <w:adjustRightInd/>
        <w:snapToGrid/>
        <w:spacing w:line="240" w:lineRule="auto"/>
        <w:ind w:firstLine="480" w:firstLineChars="200"/>
        <w:jc w:val="both"/>
        <w:textAlignment w:val="auto"/>
        <w:rPr>
          <w:rFonts w:ascii="仿宋" w:hAnsi="仿宋" w:eastAsia="仿宋" w:cs="仿宋"/>
          <w:sz w:val="24"/>
          <w:szCs w:val="24"/>
          <w:lang w:eastAsia="zh-CN"/>
        </w:rPr>
      </w:pPr>
      <w:r>
        <w:rPr>
          <w:rFonts w:ascii="仿宋" w:hAnsi="仿宋" w:eastAsia="仿宋" w:cs="仿宋"/>
          <w:sz w:val="24"/>
          <w:szCs w:val="24"/>
          <w:lang w:eastAsia="zh-CN"/>
        </w:rPr>
        <w:t>GB 21551.1  家用和类似用途电器的抗菌、除菌、净化功能通则</w:t>
      </w:r>
    </w:p>
    <w:p>
      <w:pPr>
        <w:keepNext w:val="0"/>
        <w:keepLines w:val="0"/>
        <w:pageBreakBefore w:val="0"/>
        <w:widowControl/>
        <w:kinsoku/>
        <w:wordWrap/>
        <w:overflowPunct/>
        <w:topLinePunct w:val="0"/>
        <w:autoSpaceDE w:val="0"/>
        <w:autoSpaceDN w:val="0"/>
        <w:bidi w:val="0"/>
        <w:adjustRightInd/>
        <w:snapToGrid/>
        <w:spacing w:line="240" w:lineRule="auto"/>
        <w:ind w:firstLine="480" w:firstLineChars="200"/>
        <w:jc w:val="both"/>
        <w:textAlignment w:val="auto"/>
        <w:rPr>
          <w:rFonts w:ascii="仿宋" w:hAnsi="仿宋" w:eastAsia="仿宋" w:cs="仿宋"/>
          <w:sz w:val="24"/>
          <w:szCs w:val="24"/>
          <w:lang w:eastAsia="zh-CN"/>
        </w:rPr>
      </w:pPr>
      <w:r>
        <w:rPr>
          <w:rFonts w:ascii="仿宋" w:hAnsi="仿宋" w:eastAsia="仿宋" w:cs="仿宋"/>
          <w:sz w:val="24"/>
          <w:szCs w:val="24"/>
          <w:lang w:eastAsia="zh-CN"/>
        </w:rPr>
        <w:t>GB 21551.2  家用和类似用途电器的抗菌、除菌、净化功能抗菌材料的特殊要求</w:t>
      </w:r>
    </w:p>
    <w:p>
      <w:pPr>
        <w:keepNext w:val="0"/>
        <w:keepLines w:val="0"/>
        <w:pageBreakBefore w:val="0"/>
        <w:widowControl/>
        <w:kinsoku/>
        <w:wordWrap/>
        <w:overflowPunct/>
        <w:topLinePunct w:val="0"/>
        <w:autoSpaceDE w:val="0"/>
        <w:autoSpaceDN w:val="0"/>
        <w:bidi w:val="0"/>
        <w:adjustRightInd/>
        <w:snapToGrid/>
        <w:spacing w:line="240" w:lineRule="auto"/>
        <w:ind w:firstLine="480" w:firstLineChars="200"/>
        <w:jc w:val="both"/>
        <w:textAlignment w:val="auto"/>
        <w:rPr>
          <w:rFonts w:ascii="仿宋" w:hAnsi="仿宋" w:eastAsia="仿宋" w:cs="仿宋"/>
          <w:sz w:val="24"/>
          <w:szCs w:val="24"/>
          <w:lang w:eastAsia="zh-CN"/>
        </w:rPr>
      </w:pPr>
      <w:r>
        <w:rPr>
          <w:rFonts w:ascii="仿宋" w:hAnsi="仿宋" w:eastAsia="仿宋" w:cs="仿宋"/>
          <w:sz w:val="24"/>
          <w:szCs w:val="24"/>
          <w:lang w:eastAsia="zh-CN"/>
        </w:rPr>
        <w:t>GB 21551.</w:t>
      </w:r>
      <w:r>
        <w:rPr>
          <w:rFonts w:hint="eastAsia" w:ascii="仿宋" w:hAnsi="仿宋" w:eastAsia="仿宋" w:cs="仿宋"/>
          <w:sz w:val="24"/>
          <w:szCs w:val="24"/>
          <w:lang w:eastAsia="zh-CN"/>
        </w:rPr>
        <w:t>4  家用和类似用途电器的抗菌、除菌、净化功能</w:t>
      </w:r>
      <w:r>
        <w:rPr>
          <w:rFonts w:ascii="仿宋" w:hAnsi="仿宋" w:eastAsia="仿宋" w:cs="仿宋"/>
          <w:sz w:val="24"/>
          <w:szCs w:val="24"/>
          <w:lang w:eastAsia="zh-CN"/>
        </w:rPr>
        <w:t xml:space="preserve"> 电冰箱的特殊要求</w:t>
      </w:r>
    </w:p>
    <w:p>
      <w:pPr>
        <w:keepNext w:val="0"/>
        <w:keepLines w:val="0"/>
        <w:pageBreakBefore w:val="0"/>
        <w:widowControl/>
        <w:kinsoku/>
        <w:wordWrap/>
        <w:overflowPunct/>
        <w:topLinePunct w:val="0"/>
        <w:autoSpaceDE w:val="0"/>
        <w:autoSpaceDN w:val="0"/>
        <w:bidi w:val="0"/>
        <w:adjustRightInd/>
        <w:snapToGrid/>
        <w:spacing w:line="240" w:lineRule="auto"/>
        <w:ind w:firstLine="480" w:firstLineChars="200"/>
        <w:jc w:val="both"/>
        <w:textAlignment w:val="auto"/>
        <w:rPr>
          <w:rFonts w:ascii="仿宋" w:hAnsi="仿宋" w:eastAsia="仿宋" w:cs="仿宋"/>
          <w:sz w:val="24"/>
          <w:szCs w:val="24"/>
          <w:lang w:eastAsia="zh-CN"/>
        </w:rPr>
      </w:pPr>
      <w:r>
        <w:rPr>
          <w:rFonts w:ascii="仿宋" w:hAnsi="仿宋" w:eastAsia="仿宋" w:cs="仿宋"/>
          <w:sz w:val="24"/>
          <w:szCs w:val="24"/>
          <w:lang w:eastAsia="zh-CN"/>
        </w:rPr>
        <w:t>GB/T 26125  电子电气产品 六种限用物质（铅、汞、镉、六价铬、多溴联苯和多溴二苯醚）的测定</w:t>
      </w:r>
    </w:p>
    <w:p>
      <w:pPr>
        <w:keepNext w:val="0"/>
        <w:keepLines w:val="0"/>
        <w:pageBreakBefore w:val="0"/>
        <w:widowControl/>
        <w:kinsoku/>
        <w:wordWrap/>
        <w:overflowPunct/>
        <w:topLinePunct w:val="0"/>
        <w:autoSpaceDE w:val="0"/>
        <w:autoSpaceDN w:val="0"/>
        <w:bidi w:val="0"/>
        <w:adjustRightInd/>
        <w:snapToGrid/>
        <w:spacing w:line="240" w:lineRule="auto"/>
        <w:ind w:firstLine="480" w:firstLineChars="200"/>
        <w:jc w:val="both"/>
        <w:textAlignment w:val="auto"/>
        <w:rPr>
          <w:rFonts w:ascii="仿宋" w:hAnsi="仿宋" w:eastAsia="仿宋" w:cs="仿宋"/>
          <w:sz w:val="24"/>
          <w:szCs w:val="24"/>
          <w:lang w:eastAsia="zh-CN"/>
        </w:rPr>
      </w:pPr>
      <w:r>
        <w:rPr>
          <w:rFonts w:ascii="仿宋" w:hAnsi="仿宋" w:eastAsia="仿宋" w:cs="仿宋"/>
          <w:sz w:val="24"/>
          <w:szCs w:val="24"/>
          <w:lang w:eastAsia="zh-CN"/>
        </w:rPr>
        <w:t>GB/T 26572  电子电气产品中限用物质的限量要求</w:t>
      </w:r>
    </w:p>
    <w:p>
      <w:pPr>
        <w:keepNext w:val="0"/>
        <w:keepLines w:val="0"/>
        <w:pageBreakBefore w:val="0"/>
        <w:widowControl/>
        <w:kinsoku/>
        <w:wordWrap/>
        <w:overflowPunct/>
        <w:topLinePunct w:val="0"/>
        <w:autoSpaceDE w:val="0"/>
        <w:autoSpaceDN w:val="0"/>
        <w:bidi w:val="0"/>
        <w:adjustRightInd/>
        <w:snapToGrid/>
        <w:spacing w:line="240" w:lineRule="auto"/>
        <w:ind w:firstLine="480" w:firstLineChars="200"/>
        <w:jc w:val="both"/>
        <w:textAlignment w:val="auto"/>
        <w:rPr>
          <w:rFonts w:ascii="仿宋" w:hAnsi="仿宋" w:eastAsia="仿宋" w:cs="仿宋"/>
          <w:sz w:val="24"/>
          <w:szCs w:val="24"/>
          <w:lang w:eastAsia="zh-CN"/>
        </w:rPr>
      </w:pPr>
      <w:r>
        <w:rPr>
          <w:rFonts w:ascii="仿宋" w:hAnsi="仿宋" w:eastAsia="仿宋" w:cs="仿宋"/>
          <w:sz w:val="24"/>
          <w:szCs w:val="24"/>
          <w:lang w:eastAsia="zh-CN"/>
        </w:rPr>
        <w:t>GB 26920.2  商用制冷器具能效限定值及能效等级  第2部分：自携冷凝机组商用冷柜</w:t>
      </w:r>
    </w:p>
    <w:p>
      <w:pPr>
        <w:keepNext w:val="0"/>
        <w:keepLines w:val="0"/>
        <w:pageBreakBefore w:val="0"/>
        <w:widowControl/>
        <w:kinsoku/>
        <w:wordWrap/>
        <w:overflowPunct/>
        <w:topLinePunct w:val="0"/>
        <w:autoSpaceDE w:val="0"/>
        <w:autoSpaceDN w:val="0"/>
        <w:bidi w:val="0"/>
        <w:adjustRightInd/>
        <w:snapToGrid/>
        <w:spacing w:line="240" w:lineRule="auto"/>
        <w:ind w:firstLine="480" w:firstLineChars="200"/>
        <w:jc w:val="both"/>
        <w:textAlignment w:val="auto"/>
        <w:rPr>
          <w:rFonts w:ascii="仿宋" w:hAnsi="仿宋" w:eastAsia="仿宋" w:cs="仿宋"/>
          <w:sz w:val="24"/>
          <w:szCs w:val="24"/>
          <w:lang w:eastAsia="zh-CN"/>
        </w:rPr>
      </w:pPr>
      <w:r>
        <w:rPr>
          <w:rFonts w:hint="eastAsia" w:ascii="仿宋" w:hAnsi="仿宋" w:eastAsia="仿宋" w:cs="仿宋"/>
          <w:sz w:val="24"/>
          <w:szCs w:val="24"/>
          <w:lang w:eastAsia="zh-CN"/>
        </w:rPr>
        <w:t>GB/T 32355.1-2015  电工电子产品可再生利用率评价值 第1部分：房间空气调节器、家用电冰箱</w:t>
      </w:r>
    </w:p>
    <w:p>
      <w:pPr>
        <w:keepNext w:val="0"/>
        <w:keepLines w:val="0"/>
        <w:pageBreakBefore w:val="0"/>
        <w:widowControl/>
        <w:kinsoku/>
        <w:wordWrap/>
        <w:overflowPunct/>
        <w:topLinePunct w:val="0"/>
        <w:autoSpaceDE w:val="0"/>
        <w:autoSpaceDN w:val="0"/>
        <w:bidi w:val="0"/>
        <w:adjustRightInd/>
        <w:snapToGrid/>
        <w:spacing w:line="240" w:lineRule="auto"/>
        <w:ind w:firstLine="480" w:firstLineChars="200"/>
        <w:jc w:val="both"/>
        <w:textAlignment w:val="auto"/>
        <w:rPr>
          <w:rFonts w:ascii="仿宋" w:hAnsi="仿宋" w:eastAsia="仿宋" w:cs="仿宋"/>
          <w:sz w:val="24"/>
          <w:szCs w:val="24"/>
          <w:lang w:eastAsia="zh-CN"/>
        </w:rPr>
      </w:pPr>
      <w:r>
        <w:rPr>
          <w:rFonts w:ascii="仿宋" w:hAnsi="仿宋" w:eastAsia="仿宋" w:cs="仿宋"/>
          <w:sz w:val="24"/>
          <w:szCs w:val="24"/>
          <w:lang w:eastAsia="zh-CN"/>
        </w:rPr>
        <w:t>SB/T 10794.2</w:t>
      </w:r>
      <w:r>
        <w:rPr>
          <w:rFonts w:hint="eastAsia" w:ascii="仿宋" w:hAnsi="仿宋" w:eastAsia="仿宋" w:cs="仿宋"/>
          <w:sz w:val="24"/>
          <w:szCs w:val="24"/>
          <w:lang w:eastAsia="zh-CN"/>
        </w:rPr>
        <w:t>-2012</w:t>
      </w:r>
      <w:r>
        <w:rPr>
          <w:rFonts w:ascii="仿宋" w:hAnsi="仿宋" w:eastAsia="仿宋" w:cs="仿宋"/>
          <w:sz w:val="24"/>
          <w:szCs w:val="24"/>
          <w:lang w:eastAsia="zh-CN"/>
        </w:rPr>
        <w:t xml:space="preserve">  商用冷柜  第2部分：分类、要求和试验条件</w:t>
      </w:r>
    </w:p>
    <w:p>
      <w:pPr>
        <w:widowControl/>
        <w:spacing w:line="720" w:lineRule="auto"/>
        <w:rPr>
          <w:rFonts w:ascii="黑体" w:hAnsi="宋体" w:eastAsia="黑体" w:cs="黑体"/>
          <w:sz w:val="28"/>
          <w:szCs w:val="28"/>
          <w:lang w:eastAsia="zh-CN"/>
        </w:rPr>
      </w:pPr>
      <w:r>
        <w:rPr>
          <w:rFonts w:hint="eastAsia" w:ascii="黑体" w:hAnsi="宋体" w:eastAsia="黑体" w:cs="黑体"/>
          <w:sz w:val="28"/>
          <w:szCs w:val="28"/>
          <w:lang w:eastAsia="zh-CN"/>
        </w:rPr>
        <w:t>4  标准主要内容</w:t>
      </w:r>
    </w:p>
    <w:p>
      <w:pPr>
        <w:widowControl/>
        <w:spacing w:line="720" w:lineRule="auto"/>
        <w:rPr>
          <w:rFonts w:ascii="黑体" w:hAnsi="宋体" w:eastAsia="黑体" w:cs="黑体"/>
          <w:sz w:val="28"/>
          <w:szCs w:val="28"/>
          <w:lang w:eastAsia="zh-CN"/>
        </w:rPr>
      </w:pPr>
      <w:r>
        <w:rPr>
          <w:rFonts w:hint="eastAsia" w:ascii="黑体" w:hAnsi="宋体" w:eastAsia="黑体" w:cs="黑体"/>
          <w:sz w:val="28"/>
          <w:szCs w:val="28"/>
          <w:lang w:eastAsia="zh-CN"/>
        </w:rPr>
        <w:t>4.1  范围</w:t>
      </w:r>
    </w:p>
    <w:p>
      <w:pPr>
        <w:widowControl/>
        <w:spacing w:line="360" w:lineRule="auto"/>
        <w:ind w:firstLine="560" w:firstLineChars="200"/>
        <w:rPr>
          <w:rFonts w:hint="eastAsia" w:ascii="仿宋" w:hAnsi="仿宋" w:eastAsia="仿宋" w:cs="仿宋"/>
          <w:sz w:val="28"/>
          <w:szCs w:val="28"/>
          <w:lang w:eastAsia="zh-CN"/>
        </w:rPr>
      </w:pPr>
      <w:r>
        <w:rPr>
          <w:rFonts w:hint="eastAsia" w:ascii="仿宋" w:hAnsi="仿宋" w:eastAsia="仿宋" w:cs="仿宋"/>
          <w:sz w:val="28"/>
          <w:szCs w:val="28"/>
          <w:lang w:eastAsia="zh-CN"/>
        </w:rPr>
        <w:t>本文件规定了佛山标准商用冷柜的要求、试验方法、检验规则、标志、</w:t>
      </w:r>
      <w:r>
        <w:rPr>
          <w:rFonts w:hint="eastAsia" w:ascii="仿宋" w:hAnsi="仿宋" w:eastAsia="仿宋" w:cs="仿宋"/>
          <w:sz w:val="28"/>
          <w:szCs w:val="28"/>
          <w:lang w:val="en-US" w:eastAsia="zh-CN"/>
        </w:rPr>
        <w:t>产品说明、</w:t>
      </w:r>
      <w:r>
        <w:rPr>
          <w:rFonts w:hint="eastAsia" w:ascii="仿宋" w:hAnsi="仿宋" w:eastAsia="仿宋" w:cs="仿宋"/>
          <w:sz w:val="28"/>
          <w:szCs w:val="28"/>
          <w:lang w:eastAsia="zh-CN"/>
        </w:rPr>
        <w:t>包装、运输、贮存及质量承诺。</w:t>
      </w:r>
    </w:p>
    <w:p>
      <w:pPr>
        <w:widowControl/>
        <w:spacing w:line="360" w:lineRule="auto"/>
        <w:ind w:firstLine="560" w:firstLineChars="200"/>
        <w:rPr>
          <w:rFonts w:hint="eastAsia" w:ascii="仿宋" w:hAnsi="仿宋" w:eastAsia="仿宋" w:cs="仿宋"/>
          <w:sz w:val="28"/>
          <w:szCs w:val="28"/>
          <w:lang w:eastAsia="zh-CN"/>
        </w:rPr>
      </w:pPr>
      <w:r>
        <w:rPr>
          <w:rFonts w:hint="eastAsia" w:ascii="仿宋" w:hAnsi="仿宋" w:eastAsia="仿宋" w:cs="仿宋"/>
          <w:sz w:val="28"/>
          <w:szCs w:val="28"/>
          <w:lang w:eastAsia="zh-CN"/>
        </w:rPr>
        <w:t>本文件适用于宾馆和饭店等非家庭非零售用的带有冷藏室或冷冻储藏室的制冷工作台、厨房</w:t>
      </w:r>
      <w:r>
        <w:rPr>
          <w:rFonts w:hint="eastAsia" w:ascii="仿宋" w:hAnsi="仿宋" w:eastAsia="仿宋" w:cs="仿宋"/>
          <w:sz w:val="28"/>
          <w:szCs w:val="28"/>
          <w:lang w:val="en-US" w:eastAsia="zh-CN"/>
        </w:rPr>
        <w:t>冷柜</w:t>
      </w:r>
      <w:r>
        <w:rPr>
          <w:rFonts w:hint="eastAsia" w:ascii="仿宋" w:hAnsi="仿宋" w:eastAsia="仿宋" w:cs="仿宋"/>
          <w:sz w:val="28"/>
          <w:szCs w:val="28"/>
          <w:lang w:eastAsia="zh-CN"/>
        </w:rPr>
        <w:t>。</w:t>
      </w:r>
    </w:p>
    <w:p>
      <w:pPr>
        <w:widowControl/>
        <w:spacing w:line="360" w:lineRule="auto"/>
        <w:ind w:firstLine="560" w:firstLineChars="200"/>
      </w:pPr>
      <w:r>
        <w:rPr>
          <w:rFonts w:hint="eastAsia" w:ascii="仿宋" w:hAnsi="仿宋" w:eastAsia="仿宋" w:cs="仿宋"/>
          <w:sz w:val="28"/>
          <w:szCs w:val="28"/>
          <w:lang w:eastAsia="zh-CN"/>
        </w:rPr>
        <w:t xml:space="preserve">本文件不适用于家用电冰箱、制冷自动售货机、冰淇淋机、葡萄酒柜、快速冷却柜、快速冷冻柜、非食品冷柜（如：恒温试验箱、超低温柜、医用冷柜、血液冷藏柜）。 </w:t>
      </w:r>
    </w:p>
    <w:p>
      <w:pPr>
        <w:widowControl/>
        <w:spacing w:line="720" w:lineRule="auto"/>
        <w:rPr>
          <w:rFonts w:ascii="黑体" w:hAnsi="宋体" w:eastAsia="黑体" w:cs="黑体"/>
          <w:sz w:val="28"/>
          <w:szCs w:val="28"/>
          <w:lang w:eastAsia="zh-CN"/>
        </w:rPr>
      </w:pPr>
      <w:r>
        <w:rPr>
          <w:rFonts w:hint="eastAsia" w:ascii="黑体" w:hAnsi="宋体" w:eastAsia="黑体" w:cs="黑体"/>
          <w:sz w:val="28"/>
          <w:szCs w:val="28"/>
          <w:lang w:eastAsia="zh-CN"/>
        </w:rPr>
        <w:t>4.2  要求</w:t>
      </w:r>
    </w:p>
    <w:p>
      <w:pPr>
        <w:widowControl/>
        <w:spacing w:line="360" w:lineRule="auto"/>
        <w:ind w:firstLine="560" w:firstLineChars="200"/>
        <w:rPr>
          <w:rFonts w:ascii="仿宋" w:hAnsi="仿宋" w:eastAsia="仿宋" w:cs="仿宋"/>
          <w:sz w:val="28"/>
          <w:szCs w:val="28"/>
          <w:lang w:eastAsia="zh-CN"/>
        </w:rPr>
      </w:pPr>
      <w:r>
        <w:rPr>
          <w:rFonts w:hint="eastAsia" w:ascii="仿宋" w:hAnsi="仿宋" w:eastAsia="仿宋" w:cs="仿宋"/>
          <w:sz w:val="28"/>
          <w:szCs w:val="28"/>
          <w:lang w:eastAsia="zh-CN"/>
        </w:rPr>
        <w:t>本标准包括了三部分，第一部分是基础性指标，是产品基本属性指标；第二部分是关键性指标，是消费者和企业都关注、体现产品竞争力的技术指标，指标提升，用户满意度会明显提升；第三部分是新增指标，新增指标是在行业标准的基础上，根据目前其他相关国行标准的最新要求和体现企业技术创新，指标确立，用户满意度显著提升。</w:t>
      </w:r>
    </w:p>
    <w:p>
      <w:pPr>
        <w:widowControl/>
        <w:spacing w:line="360" w:lineRule="auto"/>
        <w:ind w:firstLine="560" w:firstLineChars="200"/>
        <w:rPr>
          <w:rFonts w:ascii="仿宋" w:hAnsi="仿宋" w:eastAsia="仿宋" w:cs="仿宋"/>
          <w:sz w:val="28"/>
          <w:szCs w:val="28"/>
          <w:lang w:eastAsia="zh-CN"/>
        </w:rPr>
      </w:pPr>
      <w:r>
        <w:rPr>
          <w:rFonts w:hint="eastAsia" w:ascii="仿宋" w:hAnsi="仿宋" w:eastAsia="仿宋" w:cs="仿宋"/>
          <w:sz w:val="28"/>
          <w:szCs w:val="28"/>
          <w:lang w:eastAsia="zh-CN"/>
        </w:rPr>
        <w:t>本标准的基础性指标，包括了产品分类、外形尺寸允许偏差、内部质量表面质量等指标；关键性指标，包括了</w:t>
      </w:r>
      <w:bookmarkStart w:id="3" w:name="_Hlk161679511"/>
      <w:r>
        <w:rPr>
          <w:rFonts w:hint="eastAsia" w:ascii="仿宋" w:hAnsi="仿宋" w:eastAsia="仿宋" w:cs="仿宋"/>
          <w:sz w:val="28"/>
          <w:szCs w:val="28"/>
          <w:lang w:eastAsia="zh-CN"/>
        </w:rPr>
        <w:t>化学成份杂质、晶粒度</w:t>
      </w:r>
      <w:bookmarkEnd w:id="3"/>
      <w:r>
        <w:rPr>
          <w:rFonts w:hint="eastAsia" w:ascii="仿宋" w:hAnsi="仿宋" w:eastAsia="仿宋" w:cs="仿宋"/>
          <w:sz w:val="28"/>
          <w:szCs w:val="28"/>
          <w:lang w:eastAsia="zh-CN"/>
        </w:rPr>
        <w:t>等指标；新增指标</w:t>
      </w:r>
      <w:bookmarkStart w:id="4" w:name="_Hlk161679263"/>
      <w:r>
        <w:rPr>
          <w:rFonts w:hint="eastAsia" w:ascii="仿宋" w:hAnsi="仿宋" w:eastAsia="仿宋" w:cs="仿宋"/>
          <w:sz w:val="28"/>
          <w:szCs w:val="28"/>
          <w:lang w:eastAsia="zh-CN"/>
        </w:rPr>
        <w:t>有害物质限量</w:t>
      </w:r>
      <w:bookmarkEnd w:id="4"/>
      <w:r>
        <w:rPr>
          <w:rFonts w:hint="eastAsia" w:ascii="仿宋" w:hAnsi="仿宋" w:eastAsia="仿宋" w:cs="仿宋"/>
          <w:sz w:val="28"/>
          <w:szCs w:val="28"/>
          <w:lang w:eastAsia="zh-CN"/>
        </w:rPr>
        <w:t>等指标。</w:t>
      </w:r>
    </w:p>
    <w:p>
      <w:pPr>
        <w:autoSpaceDE/>
        <w:autoSpaceDN/>
        <w:spacing w:after="120" w:line="360" w:lineRule="auto"/>
        <w:ind w:firstLine="562" w:firstLineChars="200"/>
        <w:jc w:val="center"/>
        <w:rPr>
          <w:rFonts w:hint="eastAsia" w:ascii="仿宋" w:hAnsi="仿宋" w:eastAsia="仿宋" w:cs="仿宋"/>
          <w:b/>
          <w:bCs/>
          <w:sz w:val="28"/>
          <w:szCs w:val="28"/>
          <w:lang w:eastAsia="zh-CN"/>
        </w:rPr>
      </w:pPr>
      <w:r>
        <w:rPr>
          <w:rFonts w:hint="eastAsia" w:ascii="仿宋" w:hAnsi="仿宋" w:eastAsia="仿宋" w:cs="仿宋"/>
          <w:b/>
          <w:bCs/>
          <w:sz w:val="28"/>
          <w:szCs w:val="28"/>
          <w:lang w:eastAsia="zh-CN"/>
        </w:rPr>
        <w:t>标准指标比对表</w:t>
      </w:r>
    </w:p>
    <w:tbl>
      <w:tblPr>
        <w:tblStyle w:val="10"/>
        <w:tblW w:w="478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586"/>
        <w:gridCol w:w="1155"/>
        <w:gridCol w:w="1537"/>
        <w:gridCol w:w="825"/>
        <w:gridCol w:w="863"/>
        <w:gridCol w:w="1017"/>
        <w:gridCol w:w="5"/>
        <w:gridCol w:w="1012"/>
        <w:gridCol w:w="1018"/>
        <w:gridCol w:w="13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67" w:hRule="atLeast"/>
          <w:tblHeader/>
          <w:jc w:val="center"/>
        </w:trPr>
        <w:tc>
          <w:tcPr>
            <w:tcW w:w="313" w:type="pc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spacing w:val="0"/>
                <w:sz w:val="18"/>
                <w:szCs w:val="18"/>
                <w:shd w:val="clear" w:color="auto" w:fill="auto"/>
                <w:lang w:eastAsia="zh-CN"/>
              </w:rPr>
            </w:pPr>
            <w:r>
              <w:rPr>
                <w:rFonts w:hint="eastAsia" w:ascii="宋体" w:hAnsi="宋体" w:eastAsia="宋体" w:cs="宋体"/>
                <w:spacing w:val="0"/>
                <w:sz w:val="18"/>
                <w:szCs w:val="18"/>
                <w:shd w:val="clear" w:color="auto" w:fill="auto"/>
                <w:lang w:eastAsia="zh-CN"/>
              </w:rPr>
              <w:t>指标</w:t>
            </w:r>
          </w:p>
          <w:p>
            <w:pPr>
              <w:keepNext w:val="0"/>
              <w:keepLines w:val="0"/>
              <w:pageBreakBefore w:val="0"/>
              <w:kinsoku/>
              <w:wordWrap/>
              <w:overflowPunct/>
              <w:topLinePunct w:val="0"/>
              <w:bidi w:val="0"/>
              <w:jc w:val="center"/>
              <w:textAlignment w:val="auto"/>
              <w:rPr>
                <w:rFonts w:hint="eastAsia" w:ascii="宋体" w:hAnsi="宋体" w:eastAsia="宋体" w:cs="宋体"/>
                <w:spacing w:val="0"/>
                <w:sz w:val="18"/>
                <w:szCs w:val="18"/>
                <w:shd w:val="clear" w:color="auto" w:fill="auto"/>
                <w:lang w:eastAsia="zh-CN"/>
              </w:rPr>
            </w:pPr>
            <w:r>
              <w:rPr>
                <w:rFonts w:hint="eastAsia" w:ascii="宋体" w:hAnsi="宋体" w:eastAsia="宋体" w:cs="宋体"/>
                <w:spacing w:val="0"/>
                <w:sz w:val="18"/>
                <w:szCs w:val="18"/>
                <w:shd w:val="clear" w:color="auto" w:fill="auto"/>
                <w:lang w:eastAsia="zh-CN"/>
              </w:rPr>
              <w:t>类型</w:t>
            </w:r>
          </w:p>
        </w:tc>
        <w:tc>
          <w:tcPr>
            <w:tcW w:w="618" w:type="pc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spacing w:val="0"/>
                <w:sz w:val="18"/>
                <w:szCs w:val="18"/>
                <w:shd w:val="clear" w:color="auto" w:fill="auto"/>
                <w:lang w:val="zh-CN"/>
              </w:rPr>
            </w:pPr>
            <w:r>
              <w:rPr>
                <w:rFonts w:hint="eastAsia" w:ascii="宋体" w:hAnsi="宋体" w:eastAsia="宋体" w:cs="宋体"/>
                <w:spacing w:val="0"/>
                <w:sz w:val="18"/>
                <w:szCs w:val="18"/>
                <w:shd w:val="clear" w:color="auto" w:fill="auto"/>
                <w:lang w:val="zh-CN"/>
              </w:rPr>
              <w:t>指标项目</w:t>
            </w:r>
          </w:p>
        </w:tc>
        <w:tc>
          <w:tcPr>
            <w:tcW w:w="1727" w:type="pct"/>
            <w:gridSpan w:val="3"/>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spacing w:val="0"/>
                <w:sz w:val="18"/>
                <w:szCs w:val="18"/>
                <w:shd w:val="clear" w:color="auto" w:fill="auto"/>
                <w:lang w:val="zh-CN" w:eastAsia="zh-CN"/>
              </w:rPr>
            </w:pPr>
            <w:r>
              <w:rPr>
                <w:rFonts w:hint="eastAsia" w:ascii="宋体" w:hAnsi="宋体" w:eastAsia="宋体" w:cs="宋体"/>
                <w:spacing w:val="0"/>
                <w:sz w:val="18"/>
                <w:szCs w:val="18"/>
                <w:shd w:val="clear" w:color="auto" w:fill="auto"/>
                <w:lang w:eastAsia="zh-CN"/>
              </w:rPr>
              <w:t>佛山</w:t>
            </w:r>
            <w:r>
              <w:rPr>
                <w:rFonts w:hint="eastAsia" w:ascii="宋体" w:hAnsi="宋体" w:eastAsia="宋体" w:cs="宋体"/>
                <w:spacing w:val="0"/>
                <w:sz w:val="18"/>
                <w:szCs w:val="18"/>
                <w:shd w:val="clear" w:color="auto" w:fill="auto"/>
                <w:lang w:val="zh-CN" w:eastAsia="zh-CN"/>
              </w:rPr>
              <w:t>标准</w:t>
            </w:r>
          </w:p>
          <w:p>
            <w:pPr>
              <w:keepNext w:val="0"/>
              <w:keepLines w:val="0"/>
              <w:pageBreakBefore w:val="0"/>
              <w:kinsoku/>
              <w:wordWrap/>
              <w:overflowPunct/>
              <w:topLinePunct w:val="0"/>
              <w:bidi w:val="0"/>
              <w:jc w:val="center"/>
              <w:textAlignment w:val="auto"/>
              <w:rPr>
                <w:rFonts w:hint="eastAsia" w:ascii="宋体" w:hAnsi="宋体" w:eastAsia="宋体" w:cs="宋体"/>
                <w:spacing w:val="0"/>
                <w:sz w:val="18"/>
                <w:szCs w:val="18"/>
                <w:shd w:val="clear" w:color="auto" w:fill="auto"/>
                <w:lang w:eastAsia="zh-CN"/>
              </w:rPr>
            </w:pPr>
            <w:r>
              <w:rPr>
                <w:rFonts w:hint="eastAsia" w:ascii="宋体" w:hAnsi="宋体" w:eastAsia="宋体" w:cs="宋体"/>
                <w:spacing w:val="0"/>
                <w:sz w:val="18"/>
                <w:szCs w:val="18"/>
                <w:shd w:val="clear" w:color="auto" w:fill="auto"/>
                <w:lang w:eastAsia="zh-CN"/>
              </w:rPr>
              <w:t>T/FSS XX-2024</w:t>
            </w:r>
          </w:p>
        </w:tc>
        <w:tc>
          <w:tcPr>
            <w:tcW w:w="1634" w:type="pct"/>
            <w:gridSpan w:val="4"/>
            <w:vAlign w:val="center"/>
          </w:tcPr>
          <w:p>
            <w:pPr>
              <w:keepNext w:val="0"/>
              <w:keepLines w:val="0"/>
              <w:pageBreakBefore w:val="0"/>
              <w:kinsoku/>
              <w:wordWrap/>
              <w:overflowPunct/>
              <w:topLinePunct w:val="0"/>
              <w:bidi w:val="0"/>
              <w:jc w:val="center"/>
              <w:textAlignment w:val="auto"/>
              <w:rPr>
                <w:rFonts w:hint="eastAsia" w:ascii="宋体" w:hAnsi="宋体" w:eastAsia="宋体" w:cs="宋体"/>
                <w:spacing w:val="0"/>
                <w:sz w:val="18"/>
                <w:szCs w:val="18"/>
                <w:shd w:val="clear" w:color="auto" w:fill="auto"/>
                <w:lang w:eastAsia="zh-CN"/>
              </w:rPr>
            </w:pPr>
            <w:r>
              <w:rPr>
                <w:rFonts w:hint="eastAsia" w:ascii="宋体" w:hAnsi="宋体" w:eastAsia="宋体" w:cs="宋体"/>
                <w:spacing w:val="0"/>
                <w:sz w:val="18"/>
                <w:szCs w:val="18"/>
                <w:shd w:val="clear" w:color="auto" w:fill="auto"/>
                <w:lang w:eastAsia="zh-CN"/>
              </w:rPr>
              <w:t>国家标准</w:t>
            </w:r>
          </w:p>
          <w:p>
            <w:pPr>
              <w:keepNext w:val="0"/>
              <w:keepLines w:val="0"/>
              <w:pageBreakBefore w:val="0"/>
              <w:kinsoku/>
              <w:wordWrap/>
              <w:overflowPunct/>
              <w:topLinePunct w:val="0"/>
              <w:bidi w:val="0"/>
              <w:jc w:val="center"/>
              <w:textAlignment w:val="auto"/>
              <w:rPr>
                <w:rFonts w:hint="eastAsia" w:ascii="宋体" w:hAnsi="宋体" w:eastAsia="宋体" w:cs="宋体"/>
                <w:spacing w:val="0"/>
                <w:sz w:val="18"/>
                <w:szCs w:val="18"/>
                <w:shd w:val="clear" w:color="auto" w:fill="auto"/>
                <w:lang w:eastAsia="zh-CN"/>
              </w:rPr>
            </w:pPr>
            <w:r>
              <w:rPr>
                <w:rFonts w:hint="eastAsia" w:ascii="宋体" w:hAnsi="宋体" w:eastAsia="宋体" w:cs="宋体"/>
                <w:spacing w:val="0"/>
                <w:sz w:val="18"/>
                <w:szCs w:val="18"/>
                <w:shd w:val="clear" w:color="auto" w:fill="auto"/>
                <w:lang w:eastAsia="zh-CN"/>
              </w:rPr>
              <w:t>SB/T 10794.2-2012</w:t>
            </w:r>
          </w:p>
          <w:p>
            <w:pPr>
              <w:keepNext w:val="0"/>
              <w:keepLines w:val="0"/>
              <w:pageBreakBefore w:val="0"/>
              <w:kinsoku/>
              <w:wordWrap/>
              <w:overflowPunct/>
              <w:topLinePunct w:val="0"/>
              <w:bidi w:val="0"/>
              <w:jc w:val="center"/>
              <w:textAlignment w:val="auto"/>
              <w:rPr>
                <w:rFonts w:hint="eastAsia" w:ascii="宋体" w:hAnsi="宋体" w:eastAsia="宋体" w:cs="宋体"/>
                <w:spacing w:val="0"/>
                <w:sz w:val="18"/>
                <w:szCs w:val="18"/>
                <w:shd w:val="clear" w:color="auto" w:fill="auto"/>
                <w:lang w:eastAsia="zh-CN"/>
              </w:rPr>
            </w:pPr>
            <w:r>
              <w:rPr>
                <w:rFonts w:hint="eastAsia" w:ascii="宋体" w:hAnsi="宋体"/>
                <w:spacing w:val="0"/>
                <w:sz w:val="18"/>
                <w:szCs w:val="18"/>
                <w:shd w:val="clear" w:color="auto" w:fill="auto"/>
                <w:lang w:eastAsia="zh-CN"/>
              </w:rPr>
              <w:t>GB</w:t>
            </w:r>
            <w:r>
              <w:rPr>
                <w:rFonts w:hint="default" w:ascii="宋体" w:hAnsi="宋体"/>
                <w:spacing w:val="0"/>
                <w:sz w:val="18"/>
                <w:szCs w:val="18"/>
                <w:shd w:val="clear" w:color="auto" w:fill="auto"/>
                <w:lang w:val="en-US" w:eastAsia="zh-CN"/>
              </w:rPr>
              <w:t>/</w:t>
            </w:r>
            <w:r>
              <w:rPr>
                <w:rFonts w:hint="eastAsia" w:ascii="宋体" w:hAnsi="宋体"/>
                <w:spacing w:val="0"/>
                <w:sz w:val="18"/>
                <w:szCs w:val="18"/>
                <w:shd w:val="clear" w:color="auto" w:fill="auto"/>
                <w:lang w:eastAsia="zh-CN"/>
              </w:rPr>
              <w:t>T 21001.2-2015</w:t>
            </w:r>
          </w:p>
        </w:tc>
        <w:tc>
          <w:tcPr>
            <w:tcW w:w="706" w:type="pc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spacing w:val="0"/>
                <w:sz w:val="18"/>
                <w:szCs w:val="18"/>
                <w:shd w:val="clear" w:color="auto" w:fill="auto"/>
                <w:lang w:val="zh-CN"/>
              </w:rPr>
            </w:pPr>
            <w:r>
              <w:rPr>
                <w:rFonts w:hint="eastAsia" w:ascii="宋体" w:hAnsi="宋体" w:eastAsia="宋体" w:cs="宋体"/>
                <w:spacing w:val="0"/>
                <w:kern w:val="2"/>
                <w:sz w:val="18"/>
                <w:szCs w:val="18"/>
                <w:shd w:val="clear" w:color="auto" w:fill="auto"/>
                <w:lang w:eastAsia="zh-CN"/>
              </w:rPr>
              <w:t>比对情况及说明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07" w:hRule="atLeast"/>
          <w:jc w:val="center"/>
        </w:trPr>
        <w:tc>
          <w:tcPr>
            <w:tcW w:w="313" w:type="pct"/>
            <w:vMerge w:val="restart"/>
            <w:shd w:val="clear" w:color="auto" w:fill="auto"/>
            <w:vAlign w:val="center"/>
          </w:tcPr>
          <w:p>
            <w:pPr>
              <w:keepNext w:val="0"/>
              <w:keepLines w:val="0"/>
              <w:pageBreakBefore w:val="0"/>
              <w:kinsoku/>
              <w:wordWrap/>
              <w:overflowPunct/>
              <w:topLinePunct w:val="0"/>
              <w:bidi w:val="0"/>
              <w:jc w:val="center"/>
              <w:textAlignment w:val="auto"/>
              <w:rPr>
                <w:rFonts w:ascii="宋体" w:hAnsi="宋体" w:cs="宋体"/>
                <w:spacing w:val="0"/>
                <w:sz w:val="18"/>
                <w:szCs w:val="18"/>
                <w:shd w:val="clear" w:color="auto" w:fill="auto"/>
                <w:lang w:eastAsia="zh-CN"/>
              </w:rPr>
            </w:pPr>
            <w:r>
              <w:rPr>
                <w:rFonts w:hint="eastAsia" w:ascii="宋体" w:hAnsi="宋体" w:cs="宋体"/>
                <w:spacing w:val="0"/>
                <w:sz w:val="18"/>
                <w:szCs w:val="18"/>
                <w:shd w:val="clear" w:color="auto" w:fill="auto"/>
                <w:lang w:eastAsia="zh-CN"/>
              </w:rPr>
              <w:t>基础</w:t>
            </w:r>
          </w:p>
          <w:p>
            <w:pPr>
              <w:keepNext w:val="0"/>
              <w:keepLines w:val="0"/>
              <w:pageBreakBefore w:val="0"/>
              <w:kinsoku/>
              <w:wordWrap/>
              <w:overflowPunct/>
              <w:topLinePunct w:val="0"/>
              <w:bidi w:val="0"/>
              <w:jc w:val="center"/>
              <w:textAlignment w:val="auto"/>
              <w:rPr>
                <w:rFonts w:ascii="宋体" w:hAnsi="宋体" w:cs="宋体"/>
                <w:spacing w:val="0"/>
                <w:sz w:val="18"/>
                <w:szCs w:val="18"/>
                <w:shd w:val="clear" w:color="auto" w:fill="auto"/>
                <w:lang w:eastAsia="zh-CN"/>
              </w:rPr>
            </w:pPr>
            <w:r>
              <w:rPr>
                <w:rFonts w:hint="eastAsia" w:ascii="宋体" w:hAnsi="宋体" w:cs="宋体"/>
                <w:spacing w:val="0"/>
                <w:sz w:val="18"/>
                <w:szCs w:val="18"/>
                <w:shd w:val="clear" w:color="auto" w:fill="auto"/>
                <w:lang w:eastAsia="zh-CN"/>
              </w:rPr>
              <w:t>指标</w:t>
            </w:r>
          </w:p>
        </w:tc>
        <w:tc>
          <w:tcPr>
            <w:tcW w:w="618"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jc w:val="center"/>
              <w:textAlignment w:val="auto"/>
              <w:rPr>
                <w:rFonts w:hint="default" w:ascii="宋体" w:hAnsi="宋体"/>
                <w:spacing w:val="0"/>
                <w:sz w:val="18"/>
                <w:szCs w:val="18"/>
                <w:shd w:val="clear" w:color="auto" w:fill="auto"/>
                <w:lang w:val="en-US" w:eastAsia="zh-CN"/>
              </w:rPr>
            </w:pPr>
            <w:r>
              <w:rPr>
                <w:rFonts w:hint="eastAsia" w:ascii="宋体" w:hAnsi="宋体"/>
                <w:spacing w:val="0"/>
                <w:sz w:val="18"/>
                <w:szCs w:val="18"/>
                <w:shd w:val="clear" w:color="auto" w:fill="auto"/>
                <w:lang w:val="en-US" w:eastAsia="zh-CN"/>
              </w:rPr>
              <w:t>一般要求</w:t>
            </w:r>
          </w:p>
        </w:tc>
        <w:tc>
          <w:tcPr>
            <w:tcW w:w="1727" w:type="pct"/>
            <w:gridSpan w:val="3"/>
            <w:shd w:val="clear" w:color="auto" w:fill="auto"/>
            <w:vAlign w:val="center"/>
          </w:tcPr>
          <w:p>
            <w:pPr>
              <w:keepNext w:val="0"/>
              <w:keepLines w:val="0"/>
              <w:pageBreakBefore w:val="0"/>
              <w:widowControl/>
              <w:kinsoku/>
              <w:wordWrap/>
              <w:overflowPunct/>
              <w:topLinePunct w:val="0"/>
              <w:autoSpaceDE/>
              <w:autoSpaceDN/>
              <w:bidi w:val="0"/>
              <w:adjustRightInd w:val="0"/>
              <w:snapToGrid w:val="0"/>
              <w:jc w:val="center"/>
              <w:textAlignment w:val="auto"/>
              <w:rPr>
                <w:rFonts w:hint="eastAsia" w:ascii="宋体" w:hAnsi="宋体"/>
                <w:spacing w:val="0"/>
                <w:sz w:val="18"/>
                <w:szCs w:val="18"/>
                <w:shd w:val="clear" w:color="auto" w:fill="auto"/>
                <w:lang w:val="en-US" w:eastAsia="zh-CN"/>
              </w:rPr>
            </w:pPr>
            <w:r>
              <w:rPr>
                <w:rFonts w:hint="eastAsia" w:ascii="宋体" w:hAnsi="宋体"/>
                <w:spacing w:val="0"/>
                <w:sz w:val="18"/>
                <w:szCs w:val="18"/>
                <w:shd w:val="clear" w:color="auto" w:fill="auto"/>
                <w:lang w:val="en-US" w:eastAsia="zh-CN"/>
              </w:rPr>
              <w:t>商用冷柜的一般条件应符合GB/T 21001.2—2015中5.3.1的规定。</w:t>
            </w:r>
          </w:p>
        </w:tc>
        <w:tc>
          <w:tcPr>
            <w:tcW w:w="1634" w:type="pct"/>
            <w:gridSpan w:val="4"/>
            <w:vAlign w:val="center"/>
          </w:tcPr>
          <w:p>
            <w:pPr>
              <w:keepNext w:val="0"/>
              <w:keepLines w:val="0"/>
              <w:pageBreakBefore w:val="0"/>
              <w:widowControl/>
              <w:kinsoku/>
              <w:wordWrap/>
              <w:overflowPunct/>
              <w:topLinePunct w:val="0"/>
              <w:autoSpaceDE/>
              <w:autoSpaceDN/>
              <w:bidi w:val="0"/>
              <w:adjustRightInd w:val="0"/>
              <w:snapToGrid w:val="0"/>
              <w:jc w:val="center"/>
              <w:textAlignment w:val="auto"/>
              <w:rPr>
                <w:rFonts w:hint="default" w:ascii="宋体" w:hAnsi="宋体"/>
                <w:spacing w:val="0"/>
                <w:sz w:val="18"/>
                <w:szCs w:val="18"/>
                <w:shd w:val="clear" w:color="auto" w:fill="auto"/>
                <w:lang w:val="en-US" w:eastAsia="zh-CN"/>
              </w:rPr>
            </w:pPr>
            <w:r>
              <w:rPr>
                <w:rFonts w:hint="eastAsia" w:ascii="宋体" w:hAnsi="宋体"/>
                <w:spacing w:val="0"/>
                <w:sz w:val="18"/>
                <w:szCs w:val="18"/>
                <w:shd w:val="clear" w:color="auto" w:fill="auto"/>
                <w:lang w:val="en-US" w:eastAsia="zh-CN"/>
              </w:rPr>
              <w:t>GB/T 21001.2—2015中5.3.1规定的内容</w:t>
            </w:r>
          </w:p>
        </w:tc>
        <w:tc>
          <w:tcPr>
            <w:tcW w:w="706" w:type="pct"/>
            <w:shd w:val="clear" w:color="auto" w:fill="auto"/>
            <w:vAlign w:val="center"/>
          </w:tcPr>
          <w:p>
            <w:pPr>
              <w:keepNext w:val="0"/>
              <w:keepLines w:val="0"/>
              <w:pageBreakBefore w:val="0"/>
              <w:kinsoku/>
              <w:wordWrap/>
              <w:overflowPunct/>
              <w:topLinePunct w:val="0"/>
              <w:bidi w:val="0"/>
              <w:jc w:val="center"/>
              <w:textAlignment w:val="auto"/>
              <w:rPr>
                <w:rFonts w:hint="default" w:ascii="宋体" w:hAnsi="宋体"/>
                <w:spacing w:val="0"/>
                <w:sz w:val="18"/>
                <w:szCs w:val="18"/>
                <w:shd w:val="clear" w:color="auto" w:fill="auto"/>
                <w:lang w:val="en-US" w:eastAsia="zh-CN"/>
              </w:rPr>
            </w:pPr>
            <w:r>
              <w:rPr>
                <w:rFonts w:hint="eastAsia" w:ascii="宋体" w:hAnsi="宋体"/>
                <w:spacing w:val="0"/>
                <w:sz w:val="18"/>
                <w:szCs w:val="18"/>
                <w:shd w:val="clear" w:color="auto" w:fill="auto"/>
                <w:lang w:val="en-US" w:eastAsia="zh-CN"/>
              </w:rPr>
              <w:t>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07" w:hRule="atLeast"/>
          <w:jc w:val="center"/>
        </w:trPr>
        <w:tc>
          <w:tcPr>
            <w:tcW w:w="313"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cs="宋体"/>
                <w:spacing w:val="0"/>
                <w:sz w:val="18"/>
                <w:szCs w:val="18"/>
                <w:shd w:val="clear" w:color="auto" w:fill="auto"/>
                <w:lang w:eastAsia="zh-CN"/>
              </w:rPr>
            </w:pPr>
          </w:p>
        </w:tc>
        <w:tc>
          <w:tcPr>
            <w:tcW w:w="618"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jc w:val="center"/>
              <w:textAlignment w:val="auto"/>
              <w:rPr>
                <w:rFonts w:hint="eastAsia" w:ascii="宋体" w:hAnsi="宋体" w:eastAsia="宋体" w:cs="Times New Roman"/>
                <w:spacing w:val="0"/>
                <w:sz w:val="18"/>
                <w:szCs w:val="18"/>
                <w:shd w:val="clear" w:color="auto" w:fill="auto"/>
                <w:lang w:val="zh-CN" w:eastAsia="zh-CN" w:bidi="ar-SA"/>
              </w:rPr>
            </w:pPr>
            <w:r>
              <w:rPr>
                <w:rFonts w:hint="eastAsia" w:ascii="宋体" w:hAnsi="宋体" w:eastAsia="宋体" w:cs="宋体"/>
                <w:spacing w:val="0"/>
                <w:sz w:val="18"/>
                <w:szCs w:val="18"/>
                <w:shd w:val="clear" w:color="auto" w:fill="auto"/>
                <w:lang w:val="zh-CN"/>
              </w:rPr>
              <w:t>总有效容积</w:t>
            </w:r>
          </w:p>
        </w:tc>
        <w:tc>
          <w:tcPr>
            <w:tcW w:w="1727" w:type="pct"/>
            <w:gridSpan w:val="3"/>
            <w:shd w:val="clear" w:color="auto" w:fill="auto"/>
            <w:vAlign w:val="center"/>
          </w:tcPr>
          <w:p>
            <w:pPr>
              <w:keepNext w:val="0"/>
              <w:keepLines w:val="0"/>
              <w:pageBreakBefore w:val="0"/>
              <w:widowControl w:val="0"/>
              <w:tabs>
                <w:tab w:val="center" w:pos="4201"/>
                <w:tab w:val="right" w:leader="dot" w:pos="9298"/>
              </w:tabs>
              <w:kinsoku/>
              <w:wordWrap/>
              <w:overflowPunct/>
              <w:topLinePunct w:val="0"/>
              <w:bidi w:val="0"/>
              <w:adjustRightInd w:val="0"/>
              <w:snapToGrid w:val="0"/>
              <w:spacing w:line="240" w:lineRule="auto"/>
              <w:jc w:val="left"/>
              <w:textAlignment w:val="auto"/>
              <w:rPr>
                <w:rFonts w:hint="eastAsia" w:ascii="宋体" w:hAnsi="宋体" w:eastAsia="宋体" w:cs="宋体"/>
                <w:spacing w:val="0"/>
                <w:sz w:val="18"/>
                <w:szCs w:val="18"/>
                <w:shd w:val="clear" w:color="auto" w:fill="auto"/>
                <w:lang w:val="en-US" w:eastAsia="zh-CN" w:bidi="ar-SA"/>
              </w:rPr>
            </w:pPr>
            <w:r>
              <w:rPr>
                <w:rFonts w:hint="eastAsia" w:ascii="宋体" w:hAnsi="宋体" w:eastAsia="宋体" w:cs="宋体"/>
                <w:color w:val="auto"/>
                <w:kern w:val="0"/>
                <w:sz w:val="18"/>
                <w:szCs w:val="18"/>
                <w:lang w:eastAsia="zh-CN"/>
              </w:rPr>
              <w:t>商用</w:t>
            </w:r>
            <w:r>
              <w:rPr>
                <w:rFonts w:hint="eastAsia" w:ascii="宋体" w:hAnsi="宋体" w:eastAsia="宋体" w:cs="宋体"/>
                <w:sz w:val="18"/>
                <w:szCs w:val="18"/>
              </w:rPr>
              <w:t>冷柜的总有效容积</w:t>
            </w:r>
            <w:r>
              <w:rPr>
                <w:rFonts w:hint="eastAsia" w:ascii="宋体" w:hAnsi="宋体" w:eastAsia="宋体" w:cs="宋体"/>
                <w:sz w:val="18"/>
                <w:szCs w:val="18"/>
                <w:lang w:eastAsia="zh-CN"/>
              </w:rPr>
              <w:t>应</w:t>
            </w:r>
            <w:r>
              <w:rPr>
                <w:rFonts w:hint="eastAsia" w:ascii="宋体" w:hAnsi="宋体" w:eastAsia="宋体" w:cs="宋体"/>
                <w:sz w:val="18"/>
                <w:szCs w:val="18"/>
              </w:rPr>
              <w:t>符合SB/T 10794.2—2012中附录A的</w:t>
            </w:r>
            <w:r>
              <w:rPr>
                <w:rFonts w:hint="eastAsia" w:ascii="宋体" w:hAnsi="宋体" w:eastAsia="宋体" w:cs="宋体"/>
                <w:sz w:val="18"/>
                <w:szCs w:val="18"/>
                <w:lang w:eastAsia="zh-CN"/>
              </w:rPr>
              <w:t>要求</w:t>
            </w:r>
          </w:p>
        </w:tc>
        <w:tc>
          <w:tcPr>
            <w:tcW w:w="1634" w:type="pct"/>
            <w:gridSpan w:val="4"/>
            <w:vAlign w:val="center"/>
          </w:tcPr>
          <w:p>
            <w:pPr>
              <w:keepNext w:val="0"/>
              <w:keepLines w:val="0"/>
              <w:pageBreakBefore w:val="0"/>
              <w:widowControl w:val="0"/>
              <w:kinsoku/>
              <w:wordWrap/>
              <w:overflowPunct/>
              <w:topLinePunct w:val="0"/>
              <w:autoSpaceDE w:val="0"/>
              <w:autoSpaceDN w:val="0"/>
              <w:bidi w:val="0"/>
              <w:adjustRightInd/>
              <w:snapToGrid/>
              <w:jc w:val="both"/>
              <w:textAlignment w:val="auto"/>
              <w:rPr>
                <w:rFonts w:hint="eastAsia" w:ascii="宋体" w:hAnsi="宋体"/>
                <w:spacing w:val="0"/>
                <w:sz w:val="18"/>
                <w:szCs w:val="18"/>
                <w:shd w:val="clear" w:color="auto" w:fill="auto"/>
                <w:lang w:eastAsia="zh-CN"/>
              </w:rPr>
            </w:pPr>
            <w:r>
              <w:rPr>
                <w:rFonts w:hint="eastAsia" w:ascii="宋体" w:hAnsi="宋体" w:eastAsia="宋体" w:cs="宋体"/>
                <w:spacing w:val="0"/>
                <w:sz w:val="18"/>
                <w:szCs w:val="18"/>
                <w:shd w:val="clear" w:color="auto" w:fill="auto"/>
                <w:lang w:eastAsia="zh-CN"/>
              </w:rPr>
              <w:t>SB/T 10794.2-2012</w:t>
            </w:r>
            <w:r>
              <w:rPr>
                <w:rFonts w:hint="eastAsia" w:ascii="宋体" w:hAnsi="宋体" w:cs="宋体"/>
                <w:spacing w:val="0"/>
                <w:sz w:val="18"/>
                <w:szCs w:val="18"/>
                <w:shd w:val="clear" w:color="auto" w:fill="auto"/>
                <w:lang w:val="en-US" w:eastAsia="zh-CN"/>
              </w:rPr>
              <w:t>中</w:t>
            </w:r>
            <w:r>
              <w:rPr>
                <w:rFonts w:hint="eastAsia" w:ascii="宋体" w:hAnsi="宋体"/>
                <w:spacing w:val="0"/>
                <w:sz w:val="18"/>
                <w:szCs w:val="18"/>
                <w:shd w:val="clear" w:color="auto" w:fill="auto"/>
                <w:lang w:eastAsia="zh-CN"/>
              </w:rPr>
              <w:t>4.1.8.2</w:t>
            </w:r>
          </w:p>
          <w:p>
            <w:pPr>
              <w:keepNext w:val="0"/>
              <w:keepLines w:val="0"/>
              <w:pageBreakBefore w:val="0"/>
              <w:widowControl w:val="0"/>
              <w:kinsoku/>
              <w:wordWrap/>
              <w:overflowPunct/>
              <w:topLinePunct w:val="0"/>
              <w:autoSpaceDE w:val="0"/>
              <w:autoSpaceDN w:val="0"/>
              <w:bidi w:val="0"/>
              <w:adjustRightInd/>
              <w:snapToGrid/>
              <w:jc w:val="both"/>
              <w:textAlignment w:val="auto"/>
              <w:rPr>
                <w:rFonts w:hint="eastAsia" w:ascii="宋体" w:hAnsi="宋体" w:eastAsia="宋体" w:cs="Times New Roman"/>
                <w:spacing w:val="0"/>
                <w:sz w:val="18"/>
                <w:szCs w:val="18"/>
                <w:shd w:val="clear" w:color="auto" w:fill="auto"/>
                <w:lang w:val="en-US" w:eastAsia="zh-CN" w:bidi="ar-SA"/>
              </w:rPr>
            </w:pPr>
            <w:r>
              <w:rPr>
                <w:rFonts w:hint="eastAsia" w:ascii="宋体" w:hAnsi="宋体"/>
                <w:spacing w:val="0"/>
                <w:sz w:val="18"/>
                <w:szCs w:val="18"/>
                <w:shd w:val="clear" w:color="auto" w:fill="auto"/>
                <w:lang w:eastAsia="zh-CN"/>
              </w:rPr>
              <w:t>额定有效容积以 m</w:t>
            </w:r>
            <w:r>
              <w:rPr>
                <w:rFonts w:hint="eastAsia" w:ascii="宋体" w:hAnsi="宋体"/>
                <w:spacing w:val="0"/>
                <w:sz w:val="18"/>
                <w:szCs w:val="18"/>
                <w:shd w:val="clear" w:color="auto" w:fill="auto"/>
                <w:vertAlign w:val="superscript"/>
                <w:lang w:val="en-US" w:eastAsia="zh-CN"/>
              </w:rPr>
              <w:t>2</w:t>
            </w:r>
            <w:r>
              <w:rPr>
                <w:rFonts w:hint="eastAsia" w:ascii="宋体" w:hAnsi="宋体"/>
                <w:spacing w:val="0"/>
                <w:sz w:val="18"/>
                <w:szCs w:val="18"/>
                <w:shd w:val="clear" w:color="auto" w:fill="auto"/>
                <w:lang w:eastAsia="zh-CN"/>
              </w:rPr>
              <w:t>表示。冷柜的有效容积按附录A进行测量计算,其值应不小于额定值。</w:t>
            </w:r>
          </w:p>
        </w:tc>
        <w:tc>
          <w:tcPr>
            <w:tcW w:w="706" w:type="pc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Times New Roman"/>
                <w:spacing w:val="0"/>
                <w:sz w:val="18"/>
                <w:szCs w:val="18"/>
                <w:shd w:val="clear" w:color="auto" w:fill="auto"/>
                <w:lang w:val="en-US" w:eastAsia="zh-CN" w:bidi="ar-SA"/>
              </w:rPr>
            </w:pPr>
            <w:r>
              <w:rPr>
                <w:rFonts w:hint="eastAsia" w:ascii="宋体" w:hAnsi="宋体"/>
                <w:spacing w:val="0"/>
                <w:sz w:val="18"/>
                <w:szCs w:val="18"/>
                <w:shd w:val="clear" w:color="auto" w:fill="auto"/>
                <w:lang w:eastAsia="zh-CN"/>
              </w:rPr>
              <w:t>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07" w:hRule="atLeast"/>
          <w:jc w:val="center"/>
        </w:trPr>
        <w:tc>
          <w:tcPr>
            <w:tcW w:w="313"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cs="宋体"/>
                <w:spacing w:val="0"/>
                <w:sz w:val="18"/>
                <w:szCs w:val="18"/>
                <w:shd w:val="clear" w:color="auto" w:fill="auto"/>
                <w:lang w:eastAsia="zh-CN"/>
              </w:rPr>
            </w:pPr>
          </w:p>
        </w:tc>
        <w:tc>
          <w:tcPr>
            <w:tcW w:w="618"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jc w:val="center"/>
              <w:textAlignment w:val="auto"/>
              <w:rPr>
                <w:rFonts w:hint="eastAsia" w:ascii="宋体" w:hAnsi="宋体" w:eastAsia="宋体" w:cs="宋体"/>
                <w:spacing w:val="0"/>
                <w:sz w:val="18"/>
                <w:szCs w:val="18"/>
                <w:shd w:val="clear" w:color="auto" w:fill="auto"/>
                <w:lang w:val="zh-CN"/>
              </w:rPr>
            </w:pPr>
            <w:r>
              <w:rPr>
                <w:rFonts w:hint="eastAsia" w:ascii="宋体" w:hAnsi="宋体" w:eastAsia="宋体" w:cs="宋体"/>
                <w:spacing w:val="0"/>
                <w:sz w:val="18"/>
                <w:szCs w:val="18"/>
                <w:shd w:val="clear" w:color="auto" w:fill="auto"/>
                <w:lang w:val="zh-CN"/>
              </w:rPr>
              <w:t>启动性能</w:t>
            </w:r>
          </w:p>
        </w:tc>
        <w:tc>
          <w:tcPr>
            <w:tcW w:w="1727" w:type="pct"/>
            <w:gridSpan w:val="3"/>
            <w:shd w:val="clear" w:color="auto" w:fill="auto"/>
            <w:vAlign w:val="center"/>
          </w:tcPr>
          <w:p>
            <w:pPr>
              <w:keepNext w:val="0"/>
              <w:keepLines w:val="0"/>
              <w:pageBreakBefore w:val="0"/>
              <w:widowControl w:val="0"/>
              <w:tabs>
                <w:tab w:val="center" w:pos="4201"/>
                <w:tab w:val="right" w:leader="dot" w:pos="9298"/>
              </w:tabs>
              <w:kinsoku/>
              <w:wordWrap/>
              <w:overflowPunct/>
              <w:topLinePunct w:val="0"/>
              <w:bidi w:val="0"/>
              <w:adjustRightInd w:val="0"/>
              <w:snapToGrid w:val="0"/>
              <w:spacing w:line="240" w:lineRule="auto"/>
              <w:jc w:val="left"/>
              <w:textAlignment w:val="auto"/>
              <w:rPr>
                <w:rFonts w:hint="eastAsia" w:ascii="宋体" w:hAnsi="宋体" w:eastAsia="宋体" w:cs="宋体"/>
                <w:spacing w:val="0"/>
                <w:sz w:val="18"/>
                <w:szCs w:val="18"/>
                <w:shd w:val="clear" w:color="auto" w:fill="auto"/>
                <w:lang w:eastAsia="zh-CN"/>
              </w:rPr>
            </w:pPr>
            <w:r>
              <w:rPr>
                <w:rFonts w:hint="eastAsia" w:ascii="宋体" w:hAnsi="宋体" w:eastAsia="宋体" w:cs="宋体"/>
                <w:color w:val="auto"/>
                <w:kern w:val="0"/>
                <w:sz w:val="18"/>
                <w:szCs w:val="18"/>
                <w:lang w:eastAsia="zh-CN"/>
              </w:rPr>
              <w:t>商用</w:t>
            </w:r>
            <w:r>
              <w:rPr>
                <w:rFonts w:hint="eastAsia" w:ascii="宋体" w:hAnsi="宋体" w:eastAsia="宋体" w:cs="宋体"/>
                <w:color w:val="auto"/>
                <w:kern w:val="0"/>
                <w:sz w:val="18"/>
                <w:szCs w:val="18"/>
              </w:rPr>
              <w:t>冷柜应具有良好的启动性能，</w:t>
            </w:r>
            <w:r>
              <w:rPr>
                <w:rFonts w:hint="eastAsia" w:ascii="宋体" w:hAnsi="宋体" w:eastAsia="宋体" w:cs="宋体"/>
                <w:color w:val="auto"/>
                <w:sz w:val="18"/>
                <w:szCs w:val="18"/>
              </w:rPr>
              <w:t>按5.4的方法</w:t>
            </w:r>
            <w:r>
              <w:rPr>
                <w:rFonts w:hint="eastAsia" w:ascii="宋体" w:hAnsi="宋体" w:eastAsia="宋体" w:cs="宋体"/>
                <w:color w:val="auto"/>
                <w:kern w:val="0"/>
                <w:sz w:val="18"/>
                <w:szCs w:val="18"/>
              </w:rPr>
              <w:t>进行降电压10%启动试验时，</w:t>
            </w:r>
            <w:r>
              <w:rPr>
                <w:rFonts w:hint="eastAsia" w:ascii="宋体" w:hAnsi="宋体" w:eastAsia="宋体" w:cs="宋体"/>
                <w:color w:val="auto"/>
                <w:kern w:val="0"/>
                <w:sz w:val="18"/>
                <w:szCs w:val="18"/>
                <w:lang w:eastAsia="zh-CN"/>
              </w:rPr>
              <w:t>商用</w:t>
            </w:r>
            <w:r>
              <w:rPr>
                <w:rFonts w:hint="eastAsia" w:ascii="宋体" w:hAnsi="宋体" w:eastAsia="宋体" w:cs="宋体"/>
                <w:color w:val="auto"/>
                <w:kern w:val="0"/>
                <w:sz w:val="18"/>
                <w:szCs w:val="18"/>
              </w:rPr>
              <w:t>冷柜应能正常起动降温，装在</w:t>
            </w:r>
            <w:r>
              <w:rPr>
                <w:rFonts w:hint="eastAsia" w:ascii="宋体" w:hAnsi="宋体" w:eastAsia="宋体" w:cs="宋体"/>
                <w:color w:val="auto"/>
                <w:kern w:val="0"/>
                <w:sz w:val="18"/>
                <w:szCs w:val="18"/>
                <w:lang w:eastAsia="zh-CN"/>
              </w:rPr>
              <w:t>商用</w:t>
            </w:r>
            <w:r>
              <w:rPr>
                <w:rFonts w:hint="eastAsia" w:ascii="宋体" w:hAnsi="宋体" w:eastAsia="宋体" w:cs="宋体"/>
                <w:color w:val="auto"/>
                <w:kern w:val="0"/>
                <w:sz w:val="18"/>
                <w:szCs w:val="18"/>
              </w:rPr>
              <w:t>冷柜上的任何保护装置不应动作</w:t>
            </w:r>
          </w:p>
        </w:tc>
        <w:tc>
          <w:tcPr>
            <w:tcW w:w="1634" w:type="pct"/>
            <w:gridSpan w:val="4"/>
            <w:vAlign w:val="center"/>
          </w:tcPr>
          <w:p>
            <w:pPr>
              <w:keepNext w:val="0"/>
              <w:keepLines w:val="0"/>
              <w:pageBreakBefore w:val="0"/>
              <w:kinsoku/>
              <w:wordWrap/>
              <w:overflowPunct/>
              <w:topLinePunct w:val="0"/>
              <w:bidi w:val="0"/>
              <w:jc w:val="both"/>
              <w:textAlignment w:val="auto"/>
              <w:rPr>
                <w:rFonts w:hint="eastAsia" w:ascii="宋体" w:hAnsi="宋体"/>
                <w:spacing w:val="0"/>
                <w:sz w:val="18"/>
                <w:szCs w:val="18"/>
                <w:shd w:val="clear" w:color="auto" w:fill="auto"/>
                <w:lang w:eastAsia="zh-CN"/>
              </w:rPr>
            </w:pPr>
            <w:r>
              <w:rPr>
                <w:rFonts w:hint="eastAsia" w:ascii="宋体" w:hAnsi="宋体" w:eastAsia="宋体" w:cs="宋体"/>
                <w:spacing w:val="0"/>
                <w:sz w:val="18"/>
                <w:szCs w:val="18"/>
                <w:shd w:val="clear" w:color="auto" w:fill="auto"/>
                <w:lang w:eastAsia="zh-CN"/>
              </w:rPr>
              <w:t>SB/T 10794.2-2012</w:t>
            </w:r>
            <w:r>
              <w:rPr>
                <w:rFonts w:hint="eastAsia" w:ascii="宋体" w:hAnsi="宋体" w:cs="宋体"/>
                <w:spacing w:val="0"/>
                <w:sz w:val="18"/>
                <w:szCs w:val="18"/>
                <w:shd w:val="clear" w:color="auto" w:fill="auto"/>
                <w:lang w:val="en-US" w:eastAsia="zh-CN"/>
              </w:rPr>
              <w:t>中</w:t>
            </w:r>
            <w:r>
              <w:rPr>
                <w:rFonts w:hint="eastAsia" w:ascii="宋体" w:hAnsi="宋体"/>
                <w:spacing w:val="0"/>
                <w:sz w:val="18"/>
                <w:szCs w:val="18"/>
                <w:shd w:val="clear" w:color="auto" w:fill="auto"/>
                <w:lang w:eastAsia="zh-CN"/>
              </w:rPr>
              <w:t>4.2.13 启动性能</w:t>
            </w:r>
          </w:p>
          <w:p>
            <w:pPr>
              <w:keepNext w:val="0"/>
              <w:keepLines w:val="0"/>
              <w:pageBreakBefore w:val="0"/>
              <w:kinsoku/>
              <w:wordWrap/>
              <w:overflowPunct/>
              <w:topLinePunct w:val="0"/>
              <w:bidi w:val="0"/>
              <w:jc w:val="both"/>
              <w:textAlignment w:val="auto"/>
              <w:rPr>
                <w:rFonts w:ascii="宋体" w:hAnsi="宋体"/>
                <w:spacing w:val="0"/>
                <w:sz w:val="18"/>
                <w:szCs w:val="18"/>
                <w:shd w:val="clear" w:color="auto" w:fill="auto"/>
                <w:lang w:eastAsia="zh-CN"/>
              </w:rPr>
            </w:pPr>
            <w:r>
              <w:rPr>
                <w:rFonts w:hint="eastAsia" w:ascii="宋体" w:hAnsi="宋体"/>
                <w:spacing w:val="0"/>
                <w:sz w:val="18"/>
                <w:szCs w:val="18"/>
                <w:shd w:val="clear" w:color="auto" w:fill="auto"/>
                <w:lang w:eastAsia="zh-CN"/>
              </w:rPr>
              <w:t>冷柜应具有良好的启动性能,按5.3.18进行降电压10%启动试验时,冷柜应能正常起动降温,装在冷柜上的任何保护装置不应动作。</w:t>
            </w:r>
          </w:p>
        </w:tc>
        <w:tc>
          <w:tcPr>
            <w:tcW w:w="706" w:type="pc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spacing w:val="0"/>
                <w:sz w:val="18"/>
                <w:szCs w:val="18"/>
                <w:shd w:val="clear" w:color="auto" w:fill="auto"/>
                <w:lang w:eastAsia="zh-CN"/>
              </w:rPr>
            </w:pPr>
            <w:r>
              <w:rPr>
                <w:rFonts w:hint="eastAsia" w:ascii="宋体" w:hAnsi="宋体"/>
                <w:spacing w:val="0"/>
                <w:sz w:val="18"/>
                <w:szCs w:val="18"/>
                <w:shd w:val="clear" w:color="auto" w:fill="auto"/>
                <w:lang w:eastAsia="zh-CN"/>
              </w:rPr>
              <w:t>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07" w:hRule="atLeast"/>
          <w:jc w:val="center"/>
        </w:trPr>
        <w:tc>
          <w:tcPr>
            <w:tcW w:w="313"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cs="宋体"/>
                <w:spacing w:val="0"/>
                <w:sz w:val="18"/>
                <w:szCs w:val="18"/>
                <w:shd w:val="clear" w:color="auto" w:fill="auto"/>
                <w:lang w:eastAsia="zh-CN"/>
              </w:rPr>
            </w:pPr>
          </w:p>
        </w:tc>
        <w:tc>
          <w:tcPr>
            <w:tcW w:w="618" w:type="pc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spacing w:val="0"/>
                <w:sz w:val="18"/>
                <w:szCs w:val="18"/>
                <w:shd w:val="clear" w:color="auto" w:fill="auto"/>
                <w:lang w:val="zh-CN"/>
              </w:rPr>
            </w:pPr>
            <w:r>
              <w:rPr>
                <w:rFonts w:hint="eastAsia" w:ascii="宋体" w:hAnsi="宋体" w:eastAsia="宋体" w:cs="宋体"/>
                <w:spacing w:val="0"/>
                <w:sz w:val="18"/>
                <w:szCs w:val="18"/>
                <w:shd w:val="clear" w:color="auto" w:fill="auto"/>
                <w:lang w:val="zh-CN"/>
              </w:rPr>
              <w:t>耐电压波动性能</w:t>
            </w:r>
          </w:p>
        </w:tc>
        <w:tc>
          <w:tcPr>
            <w:tcW w:w="1727" w:type="pct"/>
            <w:gridSpan w:val="3"/>
            <w:shd w:val="clear" w:color="auto" w:fill="auto"/>
            <w:vAlign w:val="center"/>
          </w:tcPr>
          <w:p>
            <w:pPr>
              <w:keepNext w:val="0"/>
              <w:keepLines w:val="0"/>
              <w:pageBreakBefore w:val="0"/>
              <w:widowControl w:val="0"/>
              <w:tabs>
                <w:tab w:val="center" w:pos="4201"/>
                <w:tab w:val="right" w:leader="dot" w:pos="9298"/>
              </w:tabs>
              <w:kinsoku/>
              <w:wordWrap/>
              <w:overflowPunct/>
              <w:topLinePunct w:val="0"/>
              <w:bidi w:val="0"/>
              <w:adjustRightInd w:val="0"/>
              <w:snapToGrid w:val="0"/>
              <w:spacing w:line="240" w:lineRule="auto"/>
              <w:jc w:val="left"/>
              <w:textAlignment w:val="auto"/>
              <w:rPr>
                <w:rFonts w:hint="eastAsia" w:ascii="宋体" w:hAnsi="宋体" w:eastAsia="宋体" w:cs="宋体"/>
                <w:spacing w:val="0"/>
                <w:sz w:val="18"/>
                <w:szCs w:val="18"/>
                <w:shd w:val="clear" w:color="auto" w:fill="auto"/>
                <w:lang w:eastAsia="zh-CN"/>
              </w:rPr>
            </w:pPr>
            <w:r>
              <w:rPr>
                <w:rFonts w:hint="eastAsia" w:ascii="宋体" w:hAnsi="宋体" w:eastAsia="宋体" w:cs="宋体"/>
                <w:color w:val="auto"/>
                <w:kern w:val="0"/>
                <w:sz w:val="18"/>
                <w:szCs w:val="18"/>
                <w:lang w:eastAsia="zh-CN"/>
              </w:rPr>
              <w:t>商用</w:t>
            </w:r>
            <w:r>
              <w:rPr>
                <w:rFonts w:hint="eastAsia" w:ascii="宋体" w:hAnsi="宋体" w:eastAsia="宋体" w:cs="宋体"/>
                <w:kern w:val="0"/>
                <w:sz w:val="18"/>
                <w:szCs w:val="18"/>
              </w:rPr>
              <w:t>冷柜应能适应电网电压的波动，按5.5的方法进行试验时，</w:t>
            </w:r>
            <w:r>
              <w:rPr>
                <w:rFonts w:hint="eastAsia" w:ascii="宋体" w:hAnsi="宋体" w:eastAsia="宋体" w:cs="宋体"/>
                <w:color w:val="auto"/>
                <w:kern w:val="0"/>
                <w:sz w:val="18"/>
                <w:szCs w:val="18"/>
                <w:lang w:eastAsia="zh-CN"/>
              </w:rPr>
              <w:t>商用</w:t>
            </w:r>
            <w:r>
              <w:rPr>
                <w:rFonts w:hint="eastAsia" w:ascii="宋体" w:hAnsi="宋体" w:eastAsia="宋体" w:cs="宋体"/>
                <w:kern w:val="0"/>
                <w:sz w:val="18"/>
                <w:szCs w:val="18"/>
              </w:rPr>
              <w:t>冷柜应运行正常，机组各部件不能出现故障，不应出现热过载保护，柜内温度应能保持正常</w:t>
            </w:r>
          </w:p>
        </w:tc>
        <w:tc>
          <w:tcPr>
            <w:tcW w:w="1634" w:type="pct"/>
            <w:gridSpan w:val="4"/>
            <w:vAlign w:val="center"/>
          </w:tcPr>
          <w:p>
            <w:pPr>
              <w:keepNext w:val="0"/>
              <w:keepLines w:val="0"/>
              <w:pageBreakBefore w:val="0"/>
              <w:kinsoku/>
              <w:wordWrap/>
              <w:overflowPunct/>
              <w:topLinePunct w:val="0"/>
              <w:bidi w:val="0"/>
              <w:jc w:val="both"/>
              <w:textAlignment w:val="auto"/>
              <w:rPr>
                <w:rFonts w:hint="eastAsia" w:ascii="宋体" w:hAnsi="宋体"/>
                <w:spacing w:val="0"/>
                <w:sz w:val="18"/>
                <w:szCs w:val="18"/>
                <w:shd w:val="clear" w:color="auto" w:fill="auto"/>
                <w:lang w:eastAsia="zh-CN"/>
              </w:rPr>
            </w:pPr>
            <w:r>
              <w:rPr>
                <w:rFonts w:hint="eastAsia" w:ascii="宋体" w:hAnsi="宋体" w:eastAsia="宋体" w:cs="宋体"/>
                <w:spacing w:val="0"/>
                <w:sz w:val="18"/>
                <w:szCs w:val="18"/>
                <w:shd w:val="clear" w:color="auto" w:fill="auto"/>
                <w:lang w:eastAsia="zh-CN"/>
              </w:rPr>
              <w:t>SB/T 10794.2-2012</w:t>
            </w:r>
            <w:r>
              <w:rPr>
                <w:rFonts w:hint="eastAsia" w:ascii="宋体" w:hAnsi="宋体" w:cs="宋体"/>
                <w:spacing w:val="0"/>
                <w:sz w:val="18"/>
                <w:szCs w:val="18"/>
                <w:shd w:val="clear" w:color="auto" w:fill="auto"/>
                <w:lang w:val="en-US" w:eastAsia="zh-CN"/>
              </w:rPr>
              <w:t>中</w:t>
            </w:r>
            <w:r>
              <w:rPr>
                <w:rFonts w:hint="eastAsia" w:ascii="宋体" w:hAnsi="宋体"/>
                <w:spacing w:val="0"/>
                <w:sz w:val="18"/>
                <w:szCs w:val="18"/>
                <w:shd w:val="clear" w:color="auto" w:fill="auto"/>
                <w:lang w:eastAsia="zh-CN"/>
              </w:rPr>
              <w:t>4.2.12 耐电压波动性能</w:t>
            </w:r>
          </w:p>
          <w:p>
            <w:pPr>
              <w:keepNext w:val="0"/>
              <w:keepLines w:val="0"/>
              <w:pageBreakBefore w:val="0"/>
              <w:kinsoku/>
              <w:wordWrap/>
              <w:overflowPunct/>
              <w:topLinePunct w:val="0"/>
              <w:bidi w:val="0"/>
              <w:jc w:val="both"/>
              <w:textAlignment w:val="auto"/>
              <w:rPr>
                <w:rFonts w:ascii="宋体" w:hAnsi="宋体"/>
                <w:spacing w:val="0"/>
                <w:sz w:val="18"/>
                <w:szCs w:val="18"/>
                <w:shd w:val="clear" w:color="auto" w:fill="auto"/>
                <w:lang w:eastAsia="zh-CN"/>
              </w:rPr>
            </w:pPr>
            <w:r>
              <w:rPr>
                <w:rFonts w:hint="eastAsia" w:ascii="宋体" w:hAnsi="宋体"/>
                <w:spacing w:val="0"/>
                <w:sz w:val="18"/>
                <w:szCs w:val="18"/>
                <w:shd w:val="clear" w:color="auto" w:fill="auto"/>
                <w:lang w:eastAsia="zh-CN"/>
              </w:rPr>
              <w:t>冷柜应能适应电网电压的波动。按5.3.17进行试验时,冷柜应运行正常,机组各部件不能出现故障,不应出现热过载保护,柜内温度应能保持正常。</w:t>
            </w:r>
          </w:p>
        </w:tc>
        <w:tc>
          <w:tcPr>
            <w:tcW w:w="706" w:type="pc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spacing w:val="0"/>
                <w:sz w:val="18"/>
                <w:szCs w:val="18"/>
                <w:shd w:val="clear" w:color="auto" w:fill="auto"/>
                <w:lang w:eastAsia="zh-CN"/>
              </w:rPr>
            </w:pPr>
            <w:r>
              <w:rPr>
                <w:rFonts w:hint="eastAsia" w:ascii="宋体" w:hAnsi="宋体"/>
                <w:spacing w:val="0"/>
                <w:sz w:val="18"/>
                <w:szCs w:val="18"/>
                <w:shd w:val="clear" w:color="auto" w:fill="auto"/>
                <w:lang w:eastAsia="zh-CN"/>
              </w:rPr>
              <w:t>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07" w:hRule="atLeast"/>
          <w:jc w:val="center"/>
        </w:trPr>
        <w:tc>
          <w:tcPr>
            <w:tcW w:w="313"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cs="宋体"/>
                <w:spacing w:val="0"/>
                <w:sz w:val="18"/>
                <w:szCs w:val="18"/>
                <w:shd w:val="clear" w:color="auto" w:fill="auto"/>
                <w:lang w:eastAsia="zh-CN"/>
              </w:rPr>
            </w:pPr>
          </w:p>
        </w:tc>
        <w:tc>
          <w:tcPr>
            <w:tcW w:w="618" w:type="pc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spacing w:val="0"/>
                <w:sz w:val="18"/>
                <w:szCs w:val="18"/>
                <w:shd w:val="clear" w:color="auto" w:fill="auto"/>
                <w:lang w:val="zh-CN"/>
              </w:rPr>
            </w:pPr>
            <w:r>
              <w:rPr>
                <w:rFonts w:hint="eastAsia" w:ascii="宋体" w:hAnsi="宋体" w:eastAsia="宋体" w:cs="宋体"/>
                <w:spacing w:val="0"/>
                <w:sz w:val="18"/>
                <w:szCs w:val="18"/>
                <w:shd w:val="clear" w:color="auto" w:fill="auto"/>
                <w:lang w:val="zh-CN"/>
              </w:rPr>
              <w:t>水蒸气凝结</w:t>
            </w:r>
          </w:p>
        </w:tc>
        <w:tc>
          <w:tcPr>
            <w:tcW w:w="1727" w:type="pct"/>
            <w:gridSpan w:val="3"/>
            <w:shd w:val="clear" w:color="auto" w:fill="auto"/>
            <w:vAlign w:val="center"/>
          </w:tcPr>
          <w:p>
            <w:pPr>
              <w:keepNext w:val="0"/>
              <w:keepLines w:val="0"/>
              <w:pageBreakBefore w:val="0"/>
              <w:widowControl w:val="0"/>
              <w:tabs>
                <w:tab w:val="center" w:pos="4201"/>
                <w:tab w:val="right" w:leader="dot" w:pos="9298"/>
              </w:tabs>
              <w:kinsoku/>
              <w:wordWrap/>
              <w:overflowPunct/>
              <w:topLinePunct w:val="0"/>
              <w:bidi w:val="0"/>
              <w:adjustRightInd w:val="0"/>
              <w:snapToGrid w:val="0"/>
              <w:spacing w:line="240" w:lineRule="auto"/>
              <w:jc w:val="left"/>
              <w:textAlignment w:val="auto"/>
              <w:rPr>
                <w:rFonts w:hint="eastAsia" w:ascii="宋体" w:hAnsi="宋体" w:eastAsia="宋体" w:cs="宋体"/>
                <w:spacing w:val="0"/>
                <w:sz w:val="18"/>
                <w:szCs w:val="18"/>
                <w:shd w:val="clear" w:color="auto" w:fill="auto"/>
                <w:lang w:eastAsia="zh-CN"/>
              </w:rPr>
            </w:pPr>
            <w:r>
              <w:rPr>
                <w:rFonts w:hint="eastAsia" w:ascii="宋体" w:hAnsi="宋体" w:eastAsia="宋体" w:cs="宋体"/>
                <w:color w:val="auto"/>
                <w:sz w:val="18"/>
                <w:szCs w:val="18"/>
              </w:rPr>
              <w:t>按5.8的方法进行</w:t>
            </w:r>
            <w:r>
              <w:rPr>
                <w:rFonts w:hint="eastAsia" w:ascii="宋体" w:hAnsi="宋体" w:eastAsia="宋体" w:cs="宋体"/>
                <w:color w:val="auto"/>
                <w:w w:val="105"/>
                <w:sz w:val="18"/>
                <w:szCs w:val="18"/>
              </w:rPr>
              <w:t>水蒸气凝结</w:t>
            </w:r>
            <w:r>
              <w:rPr>
                <w:rFonts w:hint="eastAsia" w:ascii="宋体" w:hAnsi="宋体" w:eastAsia="宋体" w:cs="宋体"/>
                <w:color w:val="auto"/>
                <w:sz w:val="18"/>
                <w:szCs w:val="18"/>
              </w:rPr>
              <w:t>试验时，</w:t>
            </w:r>
            <w:r>
              <w:rPr>
                <w:rFonts w:hint="eastAsia" w:ascii="宋体" w:hAnsi="宋体" w:eastAsia="宋体" w:cs="宋体"/>
                <w:kern w:val="2"/>
                <w:sz w:val="18"/>
                <w:szCs w:val="18"/>
                <w:lang w:eastAsia="zh-CN"/>
              </w:rPr>
              <w:t>商用冷柜</w:t>
            </w:r>
            <w:r>
              <w:rPr>
                <w:rFonts w:hint="eastAsia" w:ascii="宋体" w:hAnsi="宋体" w:eastAsia="宋体" w:cs="宋体"/>
                <w:color w:val="auto"/>
                <w:sz w:val="18"/>
                <w:szCs w:val="18"/>
              </w:rPr>
              <w:t>外表</w:t>
            </w:r>
            <w:r>
              <w:rPr>
                <w:rFonts w:hint="eastAsia" w:ascii="宋体" w:hAnsi="宋体" w:eastAsia="宋体" w:cs="宋体"/>
                <w:sz w:val="18"/>
                <w:szCs w:val="18"/>
              </w:rPr>
              <w:t>面不允许出现流水状级凝露</w:t>
            </w:r>
          </w:p>
        </w:tc>
        <w:tc>
          <w:tcPr>
            <w:tcW w:w="1634" w:type="pct"/>
            <w:gridSpan w:val="4"/>
            <w:vAlign w:val="center"/>
          </w:tcPr>
          <w:p>
            <w:pPr>
              <w:keepNext w:val="0"/>
              <w:keepLines w:val="0"/>
              <w:pageBreakBefore w:val="0"/>
              <w:kinsoku/>
              <w:wordWrap/>
              <w:overflowPunct/>
              <w:topLinePunct w:val="0"/>
              <w:bidi w:val="0"/>
              <w:jc w:val="both"/>
              <w:textAlignment w:val="auto"/>
              <w:rPr>
                <w:rFonts w:hint="eastAsia" w:ascii="宋体" w:hAnsi="宋体"/>
                <w:spacing w:val="0"/>
                <w:sz w:val="18"/>
                <w:szCs w:val="18"/>
                <w:shd w:val="clear" w:color="auto" w:fill="auto"/>
                <w:lang w:eastAsia="zh-CN"/>
              </w:rPr>
            </w:pPr>
            <w:r>
              <w:rPr>
                <w:rFonts w:hint="eastAsia" w:ascii="宋体" w:hAnsi="宋体"/>
                <w:spacing w:val="0"/>
                <w:sz w:val="18"/>
                <w:szCs w:val="18"/>
                <w:shd w:val="clear" w:color="auto" w:fill="auto"/>
                <w:lang w:eastAsia="zh-CN"/>
              </w:rPr>
              <w:t>GB</w:t>
            </w:r>
            <w:r>
              <w:rPr>
                <w:rFonts w:hint="default" w:ascii="宋体" w:hAnsi="宋体"/>
                <w:spacing w:val="0"/>
                <w:sz w:val="18"/>
                <w:szCs w:val="18"/>
                <w:shd w:val="clear" w:color="auto" w:fill="auto"/>
                <w:lang w:val="en-US" w:eastAsia="zh-CN"/>
              </w:rPr>
              <w:t>/</w:t>
            </w:r>
            <w:r>
              <w:rPr>
                <w:rFonts w:hint="eastAsia" w:ascii="宋体" w:hAnsi="宋体"/>
                <w:spacing w:val="0"/>
                <w:sz w:val="18"/>
                <w:szCs w:val="18"/>
                <w:shd w:val="clear" w:color="auto" w:fill="auto"/>
                <w:lang w:eastAsia="zh-CN"/>
              </w:rPr>
              <w:t>T 21001.2-2015中4.2.4 水蒸气凝结</w:t>
            </w:r>
          </w:p>
          <w:p>
            <w:pPr>
              <w:keepNext w:val="0"/>
              <w:keepLines w:val="0"/>
              <w:pageBreakBefore w:val="0"/>
              <w:kinsoku/>
              <w:wordWrap/>
              <w:overflowPunct/>
              <w:topLinePunct w:val="0"/>
              <w:bidi w:val="0"/>
              <w:jc w:val="both"/>
              <w:textAlignment w:val="auto"/>
              <w:rPr>
                <w:rFonts w:ascii="宋体" w:hAnsi="宋体"/>
                <w:spacing w:val="0"/>
                <w:sz w:val="18"/>
                <w:szCs w:val="18"/>
                <w:shd w:val="clear" w:color="auto" w:fill="auto"/>
                <w:lang w:eastAsia="zh-CN"/>
              </w:rPr>
            </w:pPr>
            <w:r>
              <w:rPr>
                <w:rFonts w:hint="eastAsia" w:ascii="宋体" w:hAnsi="宋体"/>
                <w:spacing w:val="0"/>
                <w:sz w:val="18"/>
                <w:szCs w:val="18"/>
                <w:shd w:val="clear" w:color="auto" w:fill="auto"/>
                <w:lang w:eastAsia="zh-CN"/>
              </w:rPr>
              <w:t>陈列柜的性能不应受水蒸气凝结的影响。水蒸气的凝结量应按5.3.4所规定的环境和检测方法进行验证。</w:t>
            </w:r>
          </w:p>
        </w:tc>
        <w:tc>
          <w:tcPr>
            <w:tcW w:w="706" w:type="pc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spacing w:val="0"/>
                <w:sz w:val="18"/>
                <w:szCs w:val="18"/>
                <w:shd w:val="clear" w:color="auto" w:fill="auto"/>
                <w:lang w:eastAsia="zh-CN"/>
              </w:rPr>
            </w:pPr>
            <w:r>
              <w:rPr>
                <w:rFonts w:hint="eastAsia" w:ascii="宋体" w:hAnsi="宋体"/>
                <w:spacing w:val="0"/>
                <w:sz w:val="18"/>
                <w:szCs w:val="18"/>
                <w:shd w:val="clear" w:color="auto" w:fill="auto"/>
                <w:lang w:eastAsia="zh-CN"/>
              </w:rPr>
              <w:t>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07" w:hRule="atLeast"/>
          <w:jc w:val="center"/>
        </w:trPr>
        <w:tc>
          <w:tcPr>
            <w:tcW w:w="313"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cs="宋体"/>
                <w:spacing w:val="0"/>
                <w:sz w:val="18"/>
                <w:szCs w:val="18"/>
                <w:shd w:val="clear" w:color="auto" w:fill="auto"/>
                <w:lang w:eastAsia="zh-CN"/>
              </w:rPr>
            </w:pPr>
          </w:p>
        </w:tc>
        <w:tc>
          <w:tcPr>
            <w:tcW w:w="618" w:type="pc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spacing w:val="0"/>
                <w:sz w:val="18"/>
                <w:szCs w:val="18"/>
                <w:shd w:val="clear" w:color="auto" w:fill="auto"/>
                <w:lang w:val="zh-CN"/>
              </w:rPr>
            </w:pPr>
            <w:r>
              <w:rPr>
                <w:rFonts w:hint="eastAsia" w:ascii="宋体" w:hAnsi="宋体" w:eastAsia="宋体" w:cs="宋体"/>
                <w:spacing w:val="0"/>
                <w:sz w:val="18"/>
                <w:szCs w:val="18"/>
                <w:shd w:val="clear" w:color="auto" w:fill="auto"/>
                <w:lang w:val="zh-CN"/>
              </w:rPr>
              <w:t>门、盖的气密性</w:t>
            </w:r>
          </w:p>
        </w:tc>
        <w:tc>
          <w:tcPr>
            <w:tcW w:w="1727" w:type="pct"/>
            <w:gridSpan w:val="3"/>
            <w:shd w:val="clear" w:color="auto" w:fill="auto"/>
            <w:vAlign w:val="center"/>
          </w:tcPr>
          <w:p>
            <w:pPr>
              <w:keepNext w:val="0"/>
              <w:keepLines w:val="0"/>
              <w:pageBreakBefore w:val="0"/>
              <w:widowControl w:val="0"/>
              <w:tabs>
                <w:tab w:val="center" w:pos="4201"/>
                <w:tab w:val="right" w:leader="dot" w:pos="9298"/>
              </w:tabs>
              <w:kinsoku/>
              <w:wordWrap/>
              <w:overflowPunct/>
              <w:topLinePunct w:val="0"/>
              <w:bidi w:val="0"/>
              <w:adjustRightInd w:val="0"/>
              <w:snapToGrid w:val="0"/>
              <w:spacing w:line="240" w:lineRule="auto"/>
              <w:jc w:val="left"/>
              <w:textAlignment w:val="auto"/>
              <w:rPr>
                <w:rFonts w:hint="eastAsia" w:ascii="宋体" w:hAnsi="宋体" w:eastAsia="宋体" w:cs="宋体"/>
                <w:spacing w:val="0"/>
                <w:sz w:val="18"/>
                <w:szCs w:val="18"/>
                <w:shd w:val="clear" w:color="auto" w:fill="auto"/>
                <w:lang w:eastAsia="zh-CN"/>
              </w:rPr>
            </w:pPr>
            <w:r>
              <w:rPr>
                <w:rFonts w:hint="eastAsia" w:ascii="宋体" w:hAnsi="宋体" w:eastAsia="宋体" w:cs="宋体"/>
                <w:sz w:val="18"/>
                <w:szCs w:val="18"/>
              </w:rPr>
              <w:t>门封或盖封应有良好的气密性。当箱门（或盖）关闭后，门封（或盖封）四周应严密，按5.9的方法进行气密性试验时，试验纸片不应自由滑动</w:t>
            </w:r>
          </w:p>
        </w:tc>
        <w:tc>
          <w:tcPr>
            <w:tcW w:w="1634" w:type="pct"/>
            <w:gridSpan w:val="4"/>
            <w:vAlign w:val="center"/>
          </w:tcPr>
          <w:p>
            <w:pPr>
              <w:keepNext w:val="0"/>
              <w:keepLines w:val="0"/>
              <w:pageBreakBefore w:val="0"/>
              <w:kinsoku/>
              <w:wordWrap/>
              <w:overflowPunct/>
              <w:topLinePunct w:val="0"/>
              <w:bidi w:val="0"/>
              <w:jc w:val="both"/>
              <w:textAlignment w:val="auto"/>
              <w:rPr>
                <w:rFonts w:hint="eastAsia" w:ascii="宋体" w:hAnsi="宋体" w:cs="宋体"/>
                <w:spacing w:val="0"/>
                <w:sz w:val="18"/>
                <w:szCs w:val="18"/>
                <w:shd w:val="clear" w:color="auto" w:fill="auto"/>
                <w:lang w:val="en-US" w:eastAsia="zh-CN"/>
              </w:rPr>
            </w:pPr>
            <w:r>
              <w:rPr>
                <w:rFonts w:hint="eastAsia" w:ascii="宋体" w:hAnsi="宋体"/>
                <w:spacing w:val="0"/>
                <w:sz w:val="18"/>
                <w:szCs w:val="18"/>
                <w:shd w:val="clear" w:color="auto" w:fill="auto"/>
                <w:lang w:eastAsia="zh-CN"/>
              </w:rPr>
              <w:t>GB</w:t>
            </w:r>
            <w:r>
              <w:rPr>
                <w:rFonts w:hint="default" w:ascii="宋体" w:hAnsi="宋体"/>
                <w:spacing w:val="0"/>
                <w:sz w:val="18"/>
                <w:szCs w:val="18"/>
                <w:shd w:val="clear" w:color="auto" w:fill="auto"/>
                <w:lang w:val="en-US" w:eastAsia="zh-CN"/>
              </w:rPr>
              <w:t>/</w:t>
            </w:r>
            <w:r>
              <w:rPr>
                <w:rFonts w:hint="eastAsia" w:ascii="宋体" w:hAnsi="宋体"/>
                <w:spacing w:val="0"/>
                <w:sz w:val="18"/>
                <w:szCs w:val="18"/>
                <w:shd w:val="clear" w:color="auto" w:fill="auto"/>
                <w:lang w:eastAsia="zh-CN"/>
              </w:rPr>
              <w:t>T 21001.2-2015中</w:t>
            </w:r>
            <w:r>
              <w:rPr>
                <w:rFonts w:hint="eastAsia" w:ascii="宋体" w:hAnsi="宋体" w:cs="宋体"/>
                <w:spacing w:val="0"/>
                <w:sz w:val="18"/>
                <w:szCs w:val="18"/>
                <w:shd w:val="clear" w:color="auto" w:fill="auto"/>
                <w:lang w:val="en-US" w:eastAsia="zh-CN"/>
              </w:rPr>
              <w:t>中4.1.1.4</w:t>
            </w:r>
          </w:p>
          <w:p>
            <w:pPr>
              <w:keepNext w:val="0"/>
              <w:keepLines w:val="0"/>
              <w:pageBreakBefore w:val="0"/>
              <w:kinsoku/>
              <w:wordWrap/>
              <w:overflowPunct/>
              <w:topLinePunct w:val="0"/>
              <w:bidi w:val="0"/>
              <w:jc w:val="both"/>
              <w:textAlignment w:val="auto"/>
              <w:rPr>
                <w:rFonts w:ascii="宋体" w:hAnsi="宋体"/>
                <w:spacing w:val="0"/>
                <w:sz w:val="18"/>
                <w:szCs w:val="18"/>
                <w:shd w:val="clear" w:color="auto" w:fill="auto"/>
                <w:lang w:eastAsia="zh-CN"/>
              </w:rPr>
            </w:pPr>
            <w:r>
              <w:rPr>
                <w:rFonts w:hint="eastAsia" w:ascii="宋体" w:hAnsi="宋体" w:cs="宋体"/>
                <w:spacing w:val="0"/>
                <w:sz w:val="18"/>
                <w:szCs w:val="18"/>
                <w:shd w:val="clear" w:color="auto" w:fill="auto"/>
                <w:lang w:val="en-US" w:eastAsia="zh-CN"/>
              </w:rPr>
              <w:t>所有的门和盖应密封以保证制冷空间封闭,防止环境空气非正常渗入。</w:t>
            </w:r>
          </w:p>
        </w:tc>
        <w:tc>
          <w:tcPr>
            <w:tcW w:w="706" w:type="pc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spacing w:val="0"/>
                <w:sz w:val="18"/>
                <w:szCs w:val="18"/>
                <w:shd w:val="clear" w:color="auto" w:fill="auto"/>
                <w:lang w:eastAsia="zh-CN"/>
              </w:rPr>
            </w:pPr>
            <w:r>
              <w:rPr>
                <w:rFonts w:hint="eastAsia" w:ascii="宋体" w:hAnsi="宋体"/>
                <w:spacing w:val="0"/>
                <w:sz w:val="18"/>
                <w:szCs w:val="18"/>
                <w:shd w:val="clear" w:color="auto" w:fill="auto"/>
                <w:lang w:eastAsia="zh-CN"/>
              </w:rPr>
              <w:t>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90" w:hRule="atLeast"/>
          <w:jc w:val="center"/>
        </w:trPr>
        <w:tc>
          <w:tcPr>
            <w:tcW w:w="313"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cs="宋体"/>
                <w:spacing w:val="0"/>
                <w:sz w:val="18"/>
                <w:szCs w:val="18"/>
                <w:shd w:val="clear" w:color="auto" w:fill="auto"/>
                <w:lang w:eastAsia="zh-CN"/>
              </w:rPr>
            </w:pPr>
          </w:p>
        </w:tc>
        <w:tc>
          <w:tcPr>
            <w:tcW w:w="618" w:type="pct"/>
            <w:shd w:val="clear" w:color="auto" w:fill="auto"/>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cs="宋体"/>
                <w:spacing w:val="0"/>
                <w:sz w:val="18"/>
                <w:szCs w:val="18"/>
                <w:shd w:val="clear" w:color="auto" w:fill="auto"/>
                <w:lang w:val="zh-CN" w:eastAsia="zh-CN" w:bidi="ar-SA"/>
              </w:rPr>
            </w:pPr>
            <w:r>
              <w:rPr>
                <w:rFonts w:hint="eastAsia" w:ascii="宋体" w:hAnsi="宋体" w:eastAsia="宋体" w:cs="宋体"/>
                <w:spacing w:val="0"/>
                <w:sz w:val="18"/>
                <w:szCs w:val="18"/>
                <w:shd w:val="clear" w:color="auto" w:fill="auto"/>
                <w:lang w:val="zh-CN"/>
              </w:rPr>
              <w:t>安全</w:t>
            </w:r>
          </w:p>
        </w:tc>
        <w:tc>
          <w:tcPr>
            <w:tcW w:w="1727" w:type="pct"/>
            <w:gridSpan w:val="3"/>
            <w:shd w:val="clear" w:color="auto" w:fill="auto"/>
            <w:vAlign w:val="center"/>
          </w:tcPr>
          <w:p>
            <w:pPr>
              <w:keepNext w:val="0"/>
              <w:keepLines w:val="0"/>
              <w:pageBreakBefore w:val="0"/>
              <w:widowControl w:val="0"/>
              <w:tabs>
                <w:tab w:val="center" w:pos="4201"/>
                <w:tab w:val="right" w:leader="dot" w:pos="9298"/>
              </w:tabs>
              <w:kinsoku/>
              <w:wordWrap/>
              <w:overflowPunct/>
              <w:topLinePunct w:val="0"/>
              <w:bidi w:val="0"/>
              <w:adjustRightInd w:val="0"/>
              <w:snapToGrid w:val="0"/>
              <w:spacing w:line="240" w:lineRule="auto"/>
              <w:jc w:val="left"/>
              <w:textAlignment w:val="auto"/>
              <w:rPr>
                <w:rFonts w:hint="eastAsia" w:ascii="宋体" w:hAnsi="宋体" w:eastAsia="宋体" w:cs="宋体"/>
                <w:spacing w:val="0"/>
                <w:sz w:val="18"/>
                <w:szCs w:val="18"/>
                <w:shd w:val="clear" w:color="auto" w:fill="auto"/>
                <w:lang w:eastAsia="zh-CN"/>
              </w:rPr>
            </w:pPr>
            <w:r>
              <w:rPr>
                <w:rFonts w:hint="eastAsia" w:ascii="宋体" w:hAnsi="宋体" w:eastAsia="宋体" w:cs="宋体"/>
                <w:sz w:val="18"/>
                <w:szCs w:val="18"/>
              </w:rPr>
              <w:t>按5.12的方法进行试验，</w:t>
            </w:r>
            <w:r>
              <w:rPr>
                <w:rFonts w:hint="eastAsia" w:ascii="宋体" w:hAnsi="宋体" w:eastAsia="宋体" w:cs="宋体"/>
                <w:kern w:val="2"/>
                <w:sz w:val="18"/>
                <w:szCs w:val="18"/>
                <w:lang w:eastAsia="zh-CN"/>
              </w:rPr>
              <w:t>商用冷柜的</w:t>
            </w:r>
            <w:r>
              <w:rPr>
                <w:rFonts w:hint="eastAsia" w:ascii="宋体" w:hAnsi="宋体" w:eastAsia="宋体" w:cs="宋体"/>
                <w:sz w:val="18"/>
                <w:szCs w:val="18"/>
              </w:rPr>
              <w:t>安全应符合GB 4706.1、GB 4706.102的要求</w:t>
            </w:r>
          </w:p>
        </w:tc>
        <w:tc>
          <w:tcPr>
            <w:tcW w:w="1634" w:type="pct"/>
            <w:gridSpan w:val="4"/>
            <w:vAlign w:val="center"/>
          </w:tcPr>
          <w:p>
            <w:pPr>
              <w:keepNext w:val="0"/>
              <w:keepLines w:val="0"/>
              <w:pageBreakBefore w:val="0"/>
              <w:kinsoku/>
              <w:wordWrap/>
              <w:overflowPunct/>
              <w:topLinePunct w:val="0"/>
              <w:bidi w:val="0"/>
              <w:jc w:val="both"/>
              <w:textAlignment w:val="auto"/>
              <w:rPr>
                <w:rFonts w:hint="eastAsia" w:ascii="宋体" w:hAnsi="宋体" w:cs="宋体"/>
                <w:spacing w:val="0"/>
                <w:sz w:val="18"/>
                <w:szCs w:val="18"/>
                <w:shd w:val="clear" w:color="auto" w:fill="auto"/>
                <w:lang w:val="en-US" w:eastAsia="zh-CN"/>
              </w:rPr>
            </w:pPr>
            <w:r>
              <w:rPr>
                <w:rFonts w:hint="eastAsia" w:ascii="宋体" w:hAnsi="宋体" w:cs="宋体"/>
                <w:spacing w:val="0"/>
                <w:sz w:val="18"/>
                <w:szCs w:val="18"/>
                <w:shd w:val="clear" w:color="auto" w:fill="auto"/>
                <w:lang w:val="en-US" w:eastAsia="zh-CN"/>
              </w:rPr>
              <w:t>SB/T 10794.2-2012中4.1.13 安全</w:t>
            </w:r>
          </w:p>
          <w:p>
            <w:pPr>
              <w:keepNext w:val="0"/>
              <w:keepLines w:val="0"/>
              <w:pageBreakBefore w:val="0"/>
              <w:kinsoku/>
              <w:wordWrap/>
              <w:overflowPunct/>
              <w:topLinePunct w:val="0"/>
              <w:bidi w:val="0"/>
              <w:jc w:val="both"/>
              <w:textAlignment w:val="auto"/>
              <w:rPr>
                <w:rFonts w:ascii="宋体" w:hAnsi="宋体"/>
                <w:spacing w:val="0"/>
                <w:sz w:val="18"/>
                <w:szCs w:val="18"/>
                <w:shd w:val="clear" w:color="auto" w:fill="auto"/>
                <w:lang w:eastAsia="zh-CN"/>
              </w:rPr>
            </w:pPr>
            <w:r>
              <w:rPr>
                <w:rFonts w:hint="eastAsia" w:ascii="宋体" w:hAnsi="宋体" w:cs="宋体"/>
                <w:spacing w:val="0"/>
                <w:sz w:val="18"/>
                <w:szCs w:val="18"/>
                <w:shd w:val="clear" w:color="auto" w:fill="auto"/>
                <w:lang w:val="en-US" w:eastAsia="zh-CN"/>
              </w:rPr>
              <w:t>电气和机械等安全要求应符合GB 4706.1、GB 4706.102和SB 10424的有关规定</w:t>
            </w:r>
          </w:p>
        </w:tc>
        <w:tc>
          <w:tcPr>
            <w:tcW w:w="706" w:type="pc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spacing w:val="0"/>
                <w:sz w:val="18"/>
                <w:szCs w:val="18"/>
                <w:shd w:val="clear" w:color="auto" w:fill="auto"/>
                <w:lang w:eastAsia="zh-CN"/>
              </w:rPr>
            </w:pPr>
            <w:r>
              <w:rPr>
                <w:rFonts w:hint="eastAsia" w:ascii="宋体" w:hAnsi="宋体"/>
                <w:spacing w:val="0"/>
                <w:sz w:val="18"/>
                <w:szCs w:val="18"/>
                <w:shd w:val="clear" w:color="auto" w:fill="auto"/>
                <w:lang w:eastAsia="zh-CN"/>
              </w:rPr>
              <w:t>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07" w:hRule="atLeast"/>
          <w:jc w:val="center"/>
        </w:trPr>
        <w:tc>
          <w:tcPr>
            <w:tcW w:w="313"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cs="宋体"/>
                <w:spacing w:val="0"/>
                <w:sz w:val="18"/>
                <w:szCs w:val="18"/>
                <w:shd w:val="clear" w:color="auto" w:fill="auto"/>
                <w:lang w:eastAsia="zh-CN"/>
              </w:rPr>
            </w:pPr>
          </w:p>
        </w:tc>
        <w:tc>
          <w:tcPr>
            <w:tcW w:w="618" w:type="pc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spacing w:val="0"/>
                <w:sz w:val="18"/>
                <w:szCs w:val="18"/>
                <w:shd w:val="clear" w:color="auto" w:fill="auto"/>
                <w:lang w:val="zh-CN"/>
              </w:rPr>
            </w:pPr>
            <w:r>
              <w:rPr>
                <w:rFonts w:hint="eastAsia" w:ascii="宋体" w:hAnsi="宋体" w:cs="宋体"/>
                <w:spacing w:val="0"/>
                <w:sz w:val="18"/>
                <w:szCs w:val="18"/>
                <w:shd w:val="clear" w:color="auto" w:fill="auto"/>
                <w:lang w:val="zh-CN"/>
              </w:rPr>
              <w:t>外观</w:t>
            </w:r>
          </w:p>
        </w:tc>
        <w:tc>
          <w:tcPr>
            <w:tcW w:w="1727" w:type="pct"/>
            <w:gridSpan w:val="3"/>
            <w:shd w:val="clear" w:color="auto" w:fill="auto"/>
            <w:vAlign w:val="center"/>
          </w:tcPr>
          <w:p>
            <w:pPr>
              <w:pStyle w:val="39"/>
              <w:keepNext w:val="0"/>
              <w:keepLines w:val="0"/>
              <w:pageBreakBefore w:val="0"/>
              <w:widowControl w:val="0"/>
              <w:numPr>
                <w:ilvl w:val="2"/>
                <w:numId w:val="0"/>
              </w:numPr>
              <w:kinsoku/>
              <w:wordWrap/>
              <w:overflowPunct/>
              <w:topLinePunct w:val="0"/>
              <w:bidi w:val="0"/>
              <w:spacing w:line="240" w:lineRule="auto"/>
              <w:ind w:leftChars="0"/>
              <w:jc w:val="left"/>
              <w:textAlignment w:val="auto"/>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标准中4.16规定的外观要求</w:t>
            </w:r>
          </w:p>
          <w:p>
            <w:pPr>
              <w:keepNext w:val="0"/>
              <w:keepLines w:val="0"/>
              <w:pageBreakBefore w:val="0"/>
              <w:widowControl w:val="0"/>
              <w:tabs>
                <w:tab w:val="center" w:pos="4201"/>
                <w:tab w:val="right" w:leader="dot" w:pos="9298"/>
              </w:tabs>
              <w:kinsoku/>
              <w:wordWrap/>
              <w:overflowPunct/>
              <w:topLinePunct w:val="0"/>
              <w:bidi w:val="0"/>
              <w:adjustRightInd w:val="0"/>
              <w:snapToGrid w:val="0"/>
              <w:spacing w:line="240" w:lineRule="auto"/>
              <w:jc w:val="left"/>
              <w:textAlignment w:val="auto"/>
              <w:rPr>
                <w:rFonts w:hint="eastAsia" w:ascii="宋体" w:hAnsi="宋体" w:eastAsia="宋体" w:cs="宋体"/>
                <w:spacing w:val="0"/>
                <w:sz w:val="18"/>
                <w:szCs w:val="18"/>
                <w:shd w:val="clear" w:color="auto" w:fill="auto"/>
                <w:lang w:eastAsia="zh-CN"/>
              </w:rPr>
            </w:pPr>
          </w:p>
        </w:tc>
        <w:tc>
          <w:tcPr>
            <w:tcW w:w="1634" w:type="pct"/>
            <w:gridSpan w:val="4"/>
            <w:vAlign w:val="center"/>
          </w:tcPr>
          <w:p>
            <w:pPr>
              <w:keepNext w:val="0"/>
              <w:keepLines w:val="0"/>
              <w:pageBreakBefore w:val="0"/>
              <w:kinsoku/>
              <w:wordWrap/>
              <w:overflowPunct/>
              <w:topLinePunct w:val="0"/>
              <w:bidi w:val="0"/>
              <w:jc w:val="left"/>
              <w:textAlignment w:val="auto"/>
              <w:rPr>
                <w:rFonts w:hint="default" w:ascii="宋体" w:hAnsi="宋体"/>
                <w:spacing w:val="0"/>
                <w:sz w:val="18"/>
                <w:szCs w:val="18"/>
                <w:shd w:val="clear" w:color="auto" w:fill="auto"/>
                <w:lang w:val="en-US" w:eastAsia="zh-CN"/>
              </w:rPr>
            </w:pPr>
            <w:r>
              <w:rPr>
                <w:rFonts w:hint="eastAsia" w:ascii="宋体" w:hAnsi="宋体" w:eastAsia="宋体" w:cs="宋体"/>
                <w:spacing w:val="0"/>
                <w:sz w:val="18"/>
                <w:szCs w:val="18"/>
                <w:shd w:val="clear" w:color="auto" w:fill="auto"/>
                <w:lang w:eastAsia="zh-CN"/>
              </w:rPr>
              <w:t>SB/T 10794.2-2012</w:t>
            </w:r>
            <w:r>
              <w:rPr>
                <w:rFonts w:hint="eastAsia" w:ascii="宋体" w:hAnsi="宋体" w:cs="宋体"/>
                <w:spacing w:val="0"/>
                <w:sz w:val="18"/>
                <w:szCs w:val="18"/>
                <w:shd w:val="clear" w:color="auto" w:fill="auto"/>
                <w:lang w:val="en-US" w:eastAsia="zh-CN"/>
              </w:rPr>
              <w:t>中</w:t>
            </w:r>
            <w:r>
              <w:rPr>
                <w:rFonts w:hint="eastAsia" w:ascii="宋体" w:hAnsi="宋体"/>
                <w:spacing w:val="0"/>
                <w:sz w:val="18"/>
                <w:szCs w:val="18"/>
                <w:shd w:val="clear" w:color="auto" w:fill="auto"/>
                <w:lang w:val="en-US" w:eastAsia="zh-CN"/>
              </w:rPr>
              <w:t>4.1.7规定的外观内容</w:t>
            </w:r>
          </w:p>
        </w:tc>
        <w:tc>
          <w:tcPr>
            <w:tcW w:w="706" w:type="pc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spacing w:val="0"/>
                <w:sz w:val="18"/>
                <w:szCs w:val="18"/>
                <w:shd w:val="clear" w:color="auto" w:fill="auto"/>
                <w:lang w:eastAsia="zh-CN"/>
              </w:rPr>
            </w:pPr>
            <w:r>
              <w:rPr>
                <w:rFonts w:hint="eastAsia" w:ascii="宋体" w:hAnsi="宋体"/>
                <w:spacing w:val="0"/>
                <w:sz w:val="18"/>
                <w:szCs w:val="18"/>
                <w:shd w:val="clear" w:color="auto" w:fill="auto"/>
                <w:lang w:eastAsia="zh-CN"/>
              </w:rPr>
              <w:t>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07" w:hRule="atLeast"/>
          <w:jc w:val="center"/>
        </w:trPr>
        <w:tc>
          <w:tcPr>
            <w:tcW w:w="313" w:type="pct"/>
            <w:vMerge w:val="restart"/>
            <w:shd w:val="clear" w:color="auto" w:fill="auto"/>
            <w:vAlign w:val="center"/>
          </w:tcPr>
          <w:p>
            <w:pPr>
              <w:keepNext w:val="0"/>
              <w:keepLines w:val="0"/>
              <w:pageBreakBefore w:val="0"/>
              <w:kinsoku/>
              <w:wordWrap/>
              <w:overflowPunct/>
              <w:topLinePunct w:val="0"/>
              <w:bidi w:val="0"/>
              <w:jc w:val="center"/>
              <w:textAlignment w:val="auto"/>
              <w:rPr>
                <w:rFonts w:ascii="宋体" w:hAnsi="宋体" w:cs="宋体"/>
                <w:spacing w:val="0"/>
                <w:sz w:val="18"/>
                <w:szCs w:val="18"/>
                <w:shd w:val="clear" w:color="auto" w:fill="auto"/>
                <w:lang w:val="zh-CN" w:eastAsia="zh-CN"/>
              </w:rPr>
            </w:pPr>
            <w:r>
              <w:rPr>
                <w:rFonts w:hint="eastAsia" w:ascii="宋体" w:hAnsi="宋体" w:cs="宋体"/>
                <w:spacing w:val="0"/>
                <w:sz w:val="18"/>
                <w:szCs w:val="18"/>
                <w:shd w:val="clear" w:color="auto" w:fill="auto"/>
                <w:lang w:val="zh-CN" w:eastAsia="zh-CN"/>
              </w:rPr>
              <w:t>关键</w:t>
            </w:r>
          </w:p>
          <w:p>
            <w:pPr>
              <w:keepNext w:val="0"/>
              <w:keepLines w:val="0"/>
              <w:pageBreakBefore w:val="0"/>
              <w:kinsoku/>
              <w:wordWrap/>
              <w:overflowPunct/>
              <w:topLinePunct w:val="0"/>
              <w:bidi w:val="0"/>
              <w:jc w:val="center"/>
              <w:textAlignment w:val="auto"/>
              <w:rPr>
                <w:rFonts w:ascii="宋体" w:hAnsi="宋体" w:cs="宋体"/>
                <w:spacing w:val="0"/>
                <w:sz w:val="18"/>
                <w:szCs w:val="18"/>
                <w:shd w:val="clear" w:color="auto" w:fill="auto"/>
                <w:lang w:val="zh-CN" w:eastAsia="zh-CN"/>
              </w:rPr>
            </w:pPr>
            <w:r>
              <w:rPr>
                <w:rFonts w:hint="eastAsia" w:ascii="宋体" w:hAnsi="宋体" w:cs="宋体"/>
                <w:spacing w:val="0"/>
                <w:sz w:val="18"/>
                <w:szCs w:val="18"/>
                <w:shd w:val="clear" w:color="auto" w:fill="auto"/>
                <w:lang w:val="zh-CN" w:eastAsia="zh-CN"/>
              </w:rPr>
              <w:t>指标</w:t>
            </w:r>
          </w:p>
        </w:tc>
        <w:tc>
          <w:tcPr>
            <w:tcW w:w="618" w:type="pc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cs="宋体"/>
                <w:spacing w:val="0"/>
                <w:sz w:val="18"/>
                <w:szCs w:val="18"/>
                <w:shd w:val="clear" w:color="auto" w:fill="auto"/>
                <w:lang w:val="zh-CN"/>
              </w:rPr>
            </w:pPr>
            <w:r>
              <w:rPr>
                <w:rFonts w:hint="eastAsia" w:ascii="宋体" w:hAnsi="宋体" w:eastAsia="宋体" w:cs="宋体"/>
                <w:spacing w:val="0"/>
                <w:sz w:val="18"/>
                <w:szCs w:val="18"/>
                <w:shd w:val="clear" w:color="auto" w:fill="auto"/>
                <w:lang w:val="zh-CN"/>
              </w:rPr>
              <w:t>温度</w:t>
            </w:r>
          </w:p>
        </w:tc>
        <w:tc>
          <w:tcPr>
            <w:tcW w:w="1727" w:type="pct"/>
            <w:gridSpan w:val="3"/>
            <w:shd w:val="clear" w:color="auto" w:fill="auto"/>
            <w:vAlign w:val="center"/>
          </w:tcPr>
          <w:p>
            <w:pPr>
              <w:keepNext w:val="0"/>
              <w:keepLines w:val="0"/>
              <w:pageBreakBefore w:val="0"/>
              <w:widowControl w:val="0"/>
              <w:tabs>
                <w:tab w:val="center" w:pos="4201"/>
                <w:tab w:val="right" w:leader="dot" w:pos="9298"/>
              </w:tabs>
              <w:kinsoku/>
              <w:wordWrap/>
              <w:overflowPunct/>
              <w:topLinePunct w:val="0"/>
              <w:bidi w:val="0"/>
              <w:adjustRightInd w:val="0"/>
              <w:snapToGrid w:val="0"/>
              <w:spacing w:line="240" w:lineRule="auto"/>
              <w:jc w:val="left"/>
              <w:textAlignment w:val="auto"/>
              <w:rPr>
                <w:rFonts w:hint="default" w:ascii="宋体" w:hAnsi="宋体" w:eastAsia="宋体"/>
                <w:spacing w:val="0"/>
                <w:sz w:val="18"/>
                <w:szCs w:val="18"/>
                <w:shd w:val="clear" w:color="auto" w:fill="auto"/>
                <w:lang w:val="en-US" w:eastAsia="zh-CN"/>
              </w:rPr>
            </w:pPr>
            <w:r>
              <w:rPr>
                <w:rFonts w:hint="eastAsia" w:ascii="宋体" w:hAnsi="宋体"/>
                <w:spacing w:val="0"/>
                <w:sz w:val="18"/>
                <w:szCs w:val="18"/>
                <w:shd w:val="clear" w:color="auto" w:fill="auto"/>
                <w:lang w:val="en-US" w:eastAsia="zh-CN"/>
              </w:rPr>
              <w:t>标准中4.3.1规定的温度要求</w:t>
            </w:r>
          </w:p>
        </w:tc>
        <w:tc>
          <w:tcPr>
            <w:tcW w:w="1634" w:type="pct"/>
            <w:gridSpan w:val="4"/>
            <w:vAlign w:val="center"/>
          </w:tcPr>
          <w:p>
            <w:pPr>
              <w:keepNext w:val="0"/>
              <w:keepLines w:val="0"/>
              <w:pageBreakBefore w:val="0"/>
              <w:kinsoku/>
              <w:wordWrap/>
              <w:overflowPunct/>
              <w:topLinePunct w:val="0"/>
              <w:bidi w:val="0"/>
              <w:jc w:val="left"/>
              <w:textAlignment w:val="auto"/>
              <w:rPr>
                <w:rFonts w:hint="default" w:ascii="宋体" w:hAnsi="宋体"/>
                <w:spacing w:val="0"/>
                <w:sz w:val="18"/>
                <w:szCs w:val="18"/>
                <w:shd w:val="clear" w:color="auto" w:fill="auto"/>
                <w:lang w:val="en-US" w:eastAsia="zh-CN"/>
              </w:rPr>
            </w:pPr>
            <w:r>
              <w:rPr>
                <w:rFonts w:hint="eastAsia" w:ascii="宋体" w:hAnsi="宋体" w:eastAsia="宋体" w:cs="宋体"/>
                <w:spacing w:val="0"/>
                <w:sz w:val="18"/>
                <w:szCs w:val="18"/>
                <w:shd w:val="clear" w:color="auto" w:fill="auto"/>
                <w:lang w:eastAsia="zh-CN"/>
              </w:rPr>
              <w:t>SB/T 10794.2-2012</w:t>
            </w:r>
            <w:r>
              <w:rPr>
                <w:rFonts w:hint="eastAsia" w:ascii="宋体" w:hAnsi="宋体" w:cs="宋体"/>
                <w:spacing w:val="0"/>
                <w:sz w:val="18"/>
                <w:szCs w:val="18"/>
                <w:shd w:val="clear" w:color="auto" w:fill="auto"/>
                <w:lang w:val="en-US" w:eastAsia="zh-CN"/>
              </w:rPr>
              <w:t>中4.2.2规定的内容</w:t>
            </w:r>
          </w:p>
        </w:tc>
        <w:tc>
          <w:tcPr>
            <w:tcW w:w="706" w:type="pc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spacing w:val="0"/>
                <w:sz w:val="18"/>
                <w:szCs w:val="18"/>
                <w:shd w:val="clear" w:color="auto" w:fill="auto"/>
                <w:lang w:eastAsia="zh-CN"/>
              </w:rPr>
            </w:pPr>
            <w:r>
              <w:rPr>
                <w:rFonts w:hint="eastAsia" w:ascii="宋体" w:hAnsi="宋体"/>
                <w:spacing w:val="0"/>
                <w:sz w:val="18"/>
                <w:szCs w:val="18"/>
                <w:shd w:val="clear" w:color="auto" w:fill="auto"/>
                <w:lang w:eastAsia="zh-CN"/>
              </w:rPr>
              <w:t>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12" w:hRule="atLeast"/>
          <w:jc w:val="center"/>
        </w:trPr>
        <w:tc>
          <w:tcPr>
            <w:tcW w:w="313" w:type="pct"/>
            <w:vMerge w:val="continue"/>
            <w:shd w:val="clear" w:color="auto" w:fill="auto"/>
            <w:vAlign w:val="center"/>
          </w:tcPr>
          <w:p>
            <w:pPr>
              <w:keepNext w:val="0"/>
              <w:keepLines w:val="0"/>
              <w:pageBreakBefore w:val="0"/>
              <w:kinsoku/>
              <w:wordWrap/>
              <w:overflowPunct/>
              <w:topLinePunct w:val="0"/>
              <w:bidi w:val="0"/>
              <w:jc w:val="center"/>
              <w:textAlignment w:val="auto"/>
              <w:rPr>
                <w:rFonts w:ascii="宋体" w:hAnsi="宋体" w:cs="宋体"/>
                <w:spacing w:val="0"/>
                <w:sz w:val="18"/>
                <w:szCs w:val="18"/>
                <w:shd w:val="clear" w:color="auto" w:fill="auto"/>
                <w:lang w:val="zh-CN" w:eastAsia="zh-CN"/>
              </w:rPr>
            </w:pPr>
          </w:p>
        </w:tc>
        <w:tc>
          <w:tcPr>
            <w:tcW w:w="618" w:type="pc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spacing w:val="0"/>
                <w:sz w:val="18"/>
                <w:szCs w:val="18"/>
                <w:shd w:val="clear" w:color="auto" w:fill="auto"/>
                <w:lang w:val="zh-CN"/>
              </w:rPr>
            </w:pPr>
            <w:r>
              <w:rPr>
                <w:rFonts w:hint="eastAsia" w:ascii="宋体" w:hAnsi="宋体" w:cs="宋体"/>
                <w:spacing w:val="0"/>
                <w:sz w:val="18"/>
                <w:szCs w:val="18"/>
                <w:shd w:val="clear" w:color="auto" w:fill="auto"/>
                <w:lang w:val="zh-CN"/>
              </w:rPr>
              <w:t>耗电量</w:t>
            </w:r>
          </w:p>
        </w:tc>
        <w:tc>
          <w:tcPr>
            <w:tcW w:w="1727" w:type="pct"/>
            <w:gridSpan w:val="3"/>
            <w:vAlign w:val="center"/>
          </w:tcPr>
          <w:p>
            <w:pPr>
              <w:keepNext w:val="0"/>
              <w:keepLines w:val="0"/>
              <w:pageBreakBefore w:val="0"/>
              <w:kinsoku/>
              <w:wordWrap/>
              <w:overflowPunct/>
              <w:topLinePunct w:val="0"/>
              <w:bidi w:val="0"/>
              <w:jc w:val="both"/>
              <w:textAlignment w:val="auto"/>
              <w:rPr>
                <w:rFonts w:hint="eastAsia" w:ascii="宋体" w:hAnsi="宋体" w:eastAsia="宋体" w:cs="宋体"/>
                <w:color w:val="auto"/>
                <w:spacing w:val="0"/>
                <w:sz w:val="18"/>
                <w:szCs w:val="18"/>
                <w:shd w:val="clear" w:color="auto" w:fill="auto"/>
                <w:lang w:val="zh-CN" w:eastAsia="zh-CN"/>
              </w:rPr>
            </w:pPr>
            <w:r>
              <w:rPr>
                <w:rFonts w:hint="eastAsia" w:ascii="宋体" w:hAnsi="宋体" w:cs="宋体"/>
                <w:spacing w:val="0"/>
                <w:sz w:val="18"/>
                <w:szCs w:val="18"/>
                <w:shd w:val="clear" w:color="auto" w:fill="auto"/>
                <w:lang w:val="en-US" w:eastAsia="zh-CN"/>
              </w:rPr>
              <w:t>按5.5的方法进行试验，冷柜的耗电量应不大于额定值</w:t>
            </w:r>
          </w:p>
        </w:tc>
        <w:tc>
          <w:tcPr>
            <w:tcW w:w="1634" w:type="pct"/>
            <w:gridSpan w:val="4"/>
            <w:vAlign w:val="center"/>
          </w:tcPr>
          <w:p>
            <w:pPr>
              <w:keepNext w:val="0"/>
              <w:keepLines w:val="0"/>
              <w:pageBreakBefore w:val="0"/>
              <w:kinsoku/>
              <w:wordWrap/>
              <w:overflowPunct/>
              <w:topLinePunct w:val="0"/>
              <w:bidi w:val="0"/>
              <w:adjustRightInd w:val="0"/>
              <w:snapToGrid w:val="0"/>
              <w:jc w:val="left"/>
              <w:textAlignment w:val="auto"/>
              <w:rPr>
                <w:rFonts w:hint="eastAsia" w:ascii="宋体" w:hAnsi="宋体" w:cs="宋体"/>
                <w:spacing w:val="0"/>
                <w:sz w:val="18"/>
                <w:szCs w:val="18"/>
                <w:shd w:val="clear" w:color="auto" w:fill="auto"/>
                <w:lang w:val="en-US" w:eastAsia="zh-CN"/>
              </w:rPr>
            </w:pPr>
            <w:r>
              <w:rPr>
                <w:rFonts w:hint="eastAsia" w:ascii="宋体" w:hAnsi="宋体" w:eastAsia="宋体" w:cs="宋体"/>
                <w:spacing w:val="0"/>
                <w:sz w:val="18"/>
                <w:szCs w:val="18"/>
                <w:shd w:val="clear" w:color="auto" w:fill="auto"/>
                <w:lang w:eastAsia="zh-CN"/>
              </w:rPr>
              <w:t>SB/T 10794.2-2012</w:t>
            </w:r>
            <w:r>
              <w:rPr>
                <w:rFonts w:hint="eastAsia" w:ascii="宋体" w:hAnsi="宋体" w:cs="宋体"/>
                <w:spacing w:val="0"/>
                <w:sz w:val="18"/>
                <w:szCs w:val="18"/>
                <w:shd w:val="clear" w:color="auto" w:fill="auto"/>
                <w:lang w:val="en-US" w:eastAsia="zh-CN"/>
              </w:rPr>
              <w:t>中4.2.9</w:t>
            </w:r>
          </w:p>
          <w:p>
            <w:pPr>
              <w:keepNext w:val="0"/>
              <w:keepLines w:val="0"/>
              <w:pageBreakBefore w:val="0"/>
              <w:kinsoku/>
              <w:wordWrap/>
              <w:overflowPunct/>
              <w:topLinePunct w:val="0"/>
              <w:bidi w:val="0"/>
              <w:adjustRightInd w:val="0"/>
              <w:snapToGrid w:val="0"/>
              <w:jc w:val="left"/>
              <w:textAlignment w:val="auto"/>
              <w:rPr>
                <w:rFonts w:hint="eastAsia" w:ascii="宋体" w:hAnsi="宋体" w:cs="宋体"/>
                <w:spacing w:val="0"/>
                <w:sz w:val="18"/>
                <w:szCs w:val="18"/>
                <w:shd w:val="clear" w:color="auto" w:fill="auto"/>
                <w:lang w:val="en-US" w:eastAsia="zh-CN"/>
              </w:rPr>
            </w:pPr>
            <w:r>
              <w:rPr>
                <w:rFonts w:hint="eastAsia" w:ascii="宋体" w:hAnsi="宋体" w:cs="宋体"/>
                <w:spacing w:val="0"/>
                <w:sz w:val="18"/>
                <w:szCs w:val="18"/>
                <w:shd w:val="clear" w:color="auto" w:fill="auto"/>
                <w:lang w:val="en-US" w:eastAsia="zh-CN"/>
              </w:rPr>
              <w:t>耗电量</w:t>
            </w:r>
          </w:p>
          <w:p>
            <w:pPr>
              <w:keepNext w:val="0"/>
              <w:keepLines w:val="0"/>
              <w:pageBreakBefore w:val="0"/>
              <w:kinsoku/>
              <w:wordWrap/>
              <w:overflowPunct/>
              <w:topLinePunct w:val="0"/>
              <w:bidi w:val="0"/>
              <w:adjustRightInd w:val="0"/>
              <w:snapToGrid w:val="0"/>
              <w:jc w:val="left"/>
              <w:textAlignment w:val="auto"/>
              <w:rPr>
                <w:rFonts w:ascii="宋体" w:hAnsi="宋体" w:cs="宋体"/>
                <w:spacing w:val="0"/>
                <w:sz w:val="18"/>
                <w:szCs w:val="18"/>
                <w:shd w:val="clear" w:color="auto" w:fill="auto"/>
                <w:lang w:eastAsia="zh-CN"/>
              </w:rPr>
            </w:pPr>
            <w:r>
              <w:rPr>
                <w:rFonts w:hint="eastAsia" w:ascii="宋体" w:hAnsi="宋体" w:cs="宋体"/>
                <w:spacing w:val="0"/>
                <w:sz w:val="18"/>
                <w:szCs w:val="18"/>
                <w:shd w:val="clear" w:color="auto" w:fill="auto"/>
                <w:lang w:val="en-US" w:eastAsia="zh-CN"/>
              </w:rPr>
              <w:t>冷柜按5.3.5进行能耗试验时,自携式冷柜耗电量应不大于额定值。对于远置式冷柜,柜体耗电量和机组耗电量应分开考核,二者均应不大于它们的额定值。</w:t>
            </w:r>
          </w:p>
        </w:tc>
        <w:tc>
          <w:tcPr>
            <w:tcW w:w="706" w:type="pct"/>
            <w:shd w:val="clear" w:color="auto" w:fill="auto"/>
            <w:vAlign w:val="center"/>
          </w:tcPr>
          <w:p>
            <w:pPr>
              <w:keepNext w:val="0"/>
              <w:keepLines w:val="0"/>
              <w:pageBreakBefore w:val="0"/>
              <w:kinsoku/>
              <w:wordWrap/>
              <w:overflowPunct/>
              <w:topLinePunct w:val="0"/>
              <w:bidi w:val="0"/>
              <w:adjustRightInd w:val="0"/>
              <w:snapToGrid w:val="0"/>
              <w:jc w:val="center"/>
              <w:textAlignment w:val="auto"/>
              <w:rPr>
                <w:rFonts w:ascii="宋体" w:hAnsi="宋体" w:cs="宋体"/>
                <w:spacing w:val="0"/>
                <w:sz w:val="18"/>
                <w:szCs w:val="18"/>
                <w:shd w:val="clear" w:color="auto" w:fill="auto"/>
                <w:lang w:eastAsia="zh-CN"/>
              </w:rPr>
            </w:pPr>
            <w:r>
              <w:rPr>
                <w:rFonts w:hint="eastAsia" w:ascii="宋体" w:hAnsi="宋体" w:cs="宋体"/>
                <w:spacing w:val="0"/>
                <w:sz w:val="18"/>
                <w:szCs w:val="18"/>
                <w:shd w:val="clear" w:color="auto" w:fill="auto"/>
                <w:lang w:eastAsia="zh-CN"/>
              </w:rPr>
              <w:t>优于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12" w:hRule="atLeast"/>
          <w:jc w:val="center"/>
        </w:trPr>
        <w:tc>
          <w:tcPr>
            <w:tcW w:w="313" w:type="pct"/>
            <w:vMerge w:val="continue"/>
            <w:shd w:val="clear" w:color="auto" w:fill="auto"/>
            <w:vAlign w:val="center"/>
          </w:tcPr>
          <w:p>
            <w:pPr>
              <w:keepNext w:val="0"/>
              <w:keepLines w:val="0"/>
              <w:pageBreakBefore w:val="0"/>
              <w:kinsoku/>
              <w:wordWrap/>
              <w:overflowPunct/>
              <w:topLinePunct w:val="0"/>
              <w:bidi w:val="0"/>
              <w:jc w:val="center"/>
              <w:textAlignment w:val="auto"/>
              <w:rPr>
                <w:rFonts w:ascii="宋体" w:hAnsi="宋体" w:cs="宋体"/>
                <w:spacing w:val="0"/>
                <w:sz w:val="18"/>
                <w:szCs w:val="18"/>
                <w:shd w:val="clear" w:color="auto" w:fill="auto"/>
                <w:lang w:val="zh-CN" w:eastAsia="zh-CN"/>
              </w:rPr>
            </w:pPr>
          </w:p>
        </w:tc>
        <w:tc>
          <w:tcPr>
            <w:tcW w:w="618" w:type="pc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spacing w:val="0"/>
                <w:sz w:val="18"/>
                <w:szCs w:val="18"/>
                <w:shd w:val="clear" w:color="auto" w:fill="auto"/>
                <w:lang w:val="zh-CN"/>
              </w:rPr>
            </w:pPr>
            <w:r>
              <w:rPr>
                <w:rFonts w:hint="eastAsia" w:ascii="宋体" w:hAnsi="宋体" w:eastAsia="宋体" w:cs="宋体"/>
                <w:spacing w:val="0"/>
                <w:sz w:val="18"/>
                <w:szCs w:val="18"/>
                <w:shd w:val="clear" w:color="auto" w:fill="auto"/>
                <w:lang w:val="zh-CN"/>
              </w:rPr>
              <w:t>能效指数</w:t>
            </w:r>
          </w:p>
        </w:tc>
        <w:tc>
          <w:tcPr>
            <w:tcW w:w="1727" w:type="pct"/>
            <w:gridSpan w:val="3"/>
            <w:vAlign w:val="center"/>
          </w:tcPr>
          <w:p>
            <w:pPr>
              <w:keepNext w:val="0"/>
              <w:keepLines w:val="0"/>
              <w:pageBreakBefore w:val="0"/>
              <w:kinsoku/>
              <w:wordWrap/>
              <w:overflowPunct/>
              <w:topLinePunct w:val="0"/>
              <w:bidi w:val="0"/>
              <w:jc w:val="both"/>
              <w:textAlignment w:val="auto"/>
              <w:rPr>
                <w:rFonts w:hint="eastAsia" w:ascii="宋体" w:hAnsi="宋体" w:eastAsia="宋体" w:cs="宋体"/>
                <w:color w:val="auto"/>
                <w:spacing w:val="0"/>
                <w:sz w:val="18"/>
                <w:szCs w:val="18"/>
                <w:shd w:val="clear" w:color="auto" w:fill="auto"/>
                <w:lang w:val="zh-CN" w:eastAsia="zh-CN"/>
              </w:rPr>
            </w:pPr>
            <w:r>
              <w:rPr>
                <w:rFonts w:hint="eastAsia" w:ascii="宋体" w:hAnsi="宋体" w:eastAsia="宋体" w:cs="宋体"/>
                <w:color w:val="auto"/>
                <w:kern w:val="2"/>
                <w:sz w:val="18"/>
                <w:szCs w:val="18"/>
              </w:rPr>
              <w:t>按5.6</w:t>
            </w:r>
            <w:r>
              <w:rPr>
                <w:rFonts w:hint="eastAsia" w:ascii="宋体" w:hAnsi="宋体" w:eastAsia="宋体" w:cs="宋体"/>
                <w:color w:val="auto"/>
                <w:sz w:val="18"/>
                <w:szCs w:val="18"/>
              </w:rPr>
              <w:t>的方法试验</w:t>
            </w:r>
            <w:r>
              <w:rPr>
                <w:rFonts w:hint="eastAsia" w:ascii="宋体" w:hAnsi="宋体" w:eastAsia="宋体" w:cs="宋体"/>
                <w:color w:val="auto"/>
                <w:kern w:val="2"/>
                <w:sz w:val="18"/>
                <w:szCs w:val="18"/>
              </w:rPr>
              <w:t>，高效能</w:t>
            </w:r>
            <w:r>
              <w:rPr>
                <w:rFonts w:hint="eastAsia" w:ascii="宋体" w:hAnsi="宋体" w:eastAsia="宋体" w:cs="宋体"/>
                <w:color w:val="auto"/>
                <w:kern w:val="2"/>
                <w:sz w:val="18"/>
                <w:szCs w:val="18"/>
                <w:lang w:eastAsia="zh-CN"/>
              </w:rPr>
              <w:t>商用冷柜</w:t>
            </w:r>
            <w:r>
              <w:rPr>
                <w:rFonts w:hint="eastAsia" w:ascii="宋体" w:hAnsi="宋体" w:cs="宋体"/>
                <w:color w:val="auto"/>
                <w:kern w:val="2"/>
                <w:sz w:val="18"/>
                <w:szCs w:val="18"/>
                <w:lang w:val="en-US" w:eastAsia="zh-CN"/>
              </w:rPr>
              <w:t>的</w:t>
            </w:r>
            <w:r>
              <w:rPr>
                <w:rFonts w:hint="eastAsia" w:ascii="宋体" w:hAnsi="宋体" w:eastAsia="宋体" w:cs="宋体"/>
                <w:color w:val="auto"/>
                <w:kern w:val="2"/>
                <w:sz w:val="18"/>
                <w:szCs w:val="18"/>
              </w:rPr>
              <w:t>能效指数应不大于48%</w:t>
            </w:r>
          </w:p>
        </w:tc>
        <w:tc>
          <w:tcPr>
            <w:tcW w:w="1634" w:type="pct"/>
            <w:gridSpan w:val="4"/>
            <w:vAlign w:val="center"/>
          </w:tcPr>
          <w:p>
            <w:pPr>
              <w:keepNext w:val="0"/>
              <w:keepLines w:val="0"/>
              <w:pageBreakBefore w:val="0"/>
              <w:kinsoku/>
              <w:wordWrap/>
              <w:overflowPunct/>
              <w:topLinePunct w:val="0"/>
              <w:bidi w:val="0"/>
              <w:adjustRightInd w:val="0"/>
              <w:snapToGrid w:val="0"/>
              <w:jc w:val="left"/>
              <w:textAlignment w:val="auto"/>
              <w:rPr>
                <w:rFonts w:hint="eastAsia" w:ascii="宋体" w:hAnsi="宋体" w:cs="宋体"/>
                <w:spacing w:val="0"/>
                <w:sz w:val="18"/>
                <w:szCs w:val="18"/>
                <w:shd w:val="clear" w:color="auto" w:fill="auto"/>
                <w:lang w:val="en-US" w:eastAsia="zh-CN"/>
              </w:rPr>
            </w:pPr>
            <w:r>
              <w:rPr>
                <w:rFonts w:hint="eastAsia" w:ascii="宋体" w:hAnsi="宋体"/>
                <w:spacing w:val="0"/>
                <w:sz w:val="18"/>
                <w:szCs w:val="18"/>
                <w:shd w:val="clear" w:color="auto" w:fill="auto"/>
                <w:lang w:eastAsia="zh-CN"/>
              </w:rPr>
              <w:t>GB</w:t>
            </w:r>
            <w:r>
              <w:rPr>
                <w:rFonts w:hint="default" w:ascii="宋体" w:hAnsi="宋体"/>
                <w:spacing w:val="0"/>
                <w:sz w:val="18"/>
                <w:szCs w:val="18"/>
                <w:shd w:val="clear" w:color="auto" w:fill="auto"/>
                <w:lang w:val="en-US" w:eastAsia="zh-CN"/>
              </w:rPr>
              <w:t>/</w:t>
            </w:r>
            <w:r>
              <w:rPr>
                <w:rFonts w:hint="eastAsia" w:ascii="宋体" w:hAnsi="宋体"/>
                <w:spacing w:val="0"/>
                <w:sz w:val="18"/>
                <w:szCs w:val="18"/>
                <w:shd w:val="clear" w:color="auto" w:fill="auto"/>
                <w:lang w:eastAsia="zh-CN"/>
              </w:rPr>
              <w:t>T 21001.2-2015中</w:t>
            </w:r>
            <w:r>
              <w:rPr>
                <w:rFonts w:hint="eastAsia" w:ascii="宋体" w:hAnsi="宋体" w:cs="宋体"/>
                <w:spacing w:val="0"/>
                <w:sz w:val="18"/>
                <w:szCs w:val="18"/>
                <w:shd w:val="clear" w:color="auto" w:fill="auto"/>
                <w:lang w:val="en-US" w:eastAsia="zh-CN"/>
              </w:rPr>
              <w:t>4.2.5 能耗</w:t>
            </w:r>
          </w:p>
          <w:p>
            <w:pPr>
              <w:keepNext w:val="0"/>
              <w:keepLines w:val="0"/>
              <w:pageBreakBefore w:val="0"/>
              <w:kinsoku/>
              <w:wordWrap/>
              <w:overflowPunct/>
              <w:topLinePunct w:val="0"/>
              <w:bidi w:val="0"/>
              <w:adjustRightInd w:val="0"/>
              <w:snapToGrid w:val="0"/>
              <w:jc w:val="left"/>
              <w:textAlignment w:val="auto"/>
              <w:rPr>
                <w:rFonts w:hint="eastAsia" w:ascii="宋体" w:hAnsi="宋体" w:cs="宋体"/>
                <w:spacing w:val="0"/>
                <w:sz w:val="18"/>
                <w:szCs w:val="18"/>
                <w:shd w:val="clear" w:color="auto" w:fill="auto"/>
                <w:lang w:val="en-US" w:eastAsia="zh-CN"/>
              </w:rPr>
            </w:pPr>
            <w:r>
              <w:rPr>
                <w:rFonts w:hint="eastAsia" w:ascii="宋体" w:hAnsi="宋体" w:cs="宋体"/>
                <w:spacing w:val="0"/>
                <w:sz w:val="18"/>
                <w:szCs w:val="18"/>
                <w:shd w:val="clear" w:color="auto" w:fill="auto"/>
                <w:lang w:val="en-US" w:eastAsia="zh-CN"/>
              </w:rPr>
              <w:t>产品制造商应明确标示陈列柜的能耗和排热率(仅远置式陈列柜)。当冷凝机组远置于陈列柜时,应按5.3.5和5.3.6所规定的条件和试验方法,对直接电能能耗(DEC)、制冷电能消耗(REC)和耗电量(TEC)进行测量。</w:t>
            </w:r>
          </w:p>
        </w:tc>
        <w:tc>
          <w:tcPr>
            <w:tcW w:w="706" w:type="pct"/>
            <w:shd w:val="clear" w:color="auto" w:fill="auto"/>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cs="宋体"/>
                <w:spacing w:val="0"/>
                <w:sz w:val="18"/>
                <w:szCs w:val="18"/>
                <w:shd w:val="clear" w:color="auto" w:fill="auto"/>
                <w:lang w:eastAsia="zh-CN"/>
              </w:rPr>
            </w:pPr>
            <w:r>
              <w:rPr>
                <w:rFonts w:hint="eastAsia" w:ascii="宋体" w:hAnsi="宋体" w:cs="宋体"/>
                <w:spacing w:val="0"/>
                <w:sz w:val="18"/>
                <w:szCs w:val="18"/>
                <w:shd w:val="clear" w:color="auto" w:fill="auto"/>
                <w:lang w:eastAsia="zh-CN"/>
              </w:rPr>
              <w:t>优于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51" w:hRule="atLeast"/>
          <w:jc w:val="center"/>
        </w:trPr>
        <w:tc>
          <w:tcPr>
            <w:tcW w:w="313" w:type="pct"/>
            <w:vMerge w:val="continue"/>
            <w:shd w:val="clear" w:color="auto" w:fill="auto"/>
            <w:vAlign w:val="center"/>
          </w:tcPr>
          <w:p>
            <w:pPr>
              <w:keepNext w:val="0"/>
              <w:keepLines w:val="0"/>
              <w:pageBreakBefore w:val="0"/>
              <w:kinsoku/>
              <w:wordWrap/>
              <w:overflowPunct/>
              <w:topLinePunct w:val="0"/>
              <w:bidi w:val="0"/>
              <w:jc w:val="center"/>
              <w:textAlignment w:val="auto"/>
              <w:rPr>
                <w:rFonts w:ascii="宋体" w:hAnsi="宋体" w:cs="宋体"/>
                <w:spacing w:val="0"/>
                <w:sz w:val="18"/>
                <w:szCs w:val="18"/>
                <w:shd w:val="clear" w:color="auto" w:fill="auto"/>
                <w:lang w:val="zh-CN" w:eastAsia="zh-CN"/>
              </w:rPr>
            </w:pPr>
          </w:p>
        </w:tc>
        <w:tc>
          <w:tcPr>
            <w:tcW w:w="618" w:type="pc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spacing w:val="0"/>
                <w:sz w:val="18"/>
                <w:szCs w:val="18"/>
                <w:shd w:val="clear" w:color="auto" w:fill="auto"/>
                <w:lang w:val="zh-CN" w:eastAsia="zh-CN"/>
              </w:rPr>
            </w:pPr>
            <w:r>
              <w:rPr>
                <w:rFonts w:hint="eastAsia" w:ascii="宋体" w:hAnsi="宋体" w:eastAsia="宋体" w:cs="宋体"/>
                <w:spacing w:val="0"/>
                <w:sz w:val="18"/>
                <w:szCs w:val="18"/>
                <w:shd w:val="clear" w:color="auto" w:fill="auto"/>
                <w:lang w:val="zh-CN"/>
              </w:rPr>
              <w:t>制冷系统密封性</w:t>
            </w:r>
          </w:p>
        </w:tc>
        <w:tc>
          <w:tcPr>
            <w:tcW w:w="1727" w:type="pct"/>
            <w:gridSpan w:val="3"/>
            <w:vAlign w:val="center"/>
          </w:tcPr>
          <w:p>
            <w:pPr>
              <w:keepNext w:val="0"/>
              <w:keepLines w:val="0"/>
              <w:pageBreakBefore w:val="0"/>
              <w:kinsoku/>
              <w:wordWrap/>
              <w:overflowPunct/>
              <w:topLinePunct w:val="0"/>
              <w:bidi w:val="0"/>
              <w:jc w:val="both"/>
              <w:textAlignment w:val="auto"/>
              <w:rPr>
                <w:rFonts w:hint="eastAsia" w:ascii="宋体" w:hAnsi="宋体" w:eastAsia="宋体" w:cs="宋体"/>
                <w:color w:val="auto"/>
                <w:spacing w:val="0"/>
                <w:sz w:val="18"/>
                <w:szCs w:val="18"/>
                <w:shd w:val="clear" w:color="auto" w:fill="auto"/>
                <w:lang w:val="zh-CN" w:eastAsia="zh-CN"/>
              </w:rPr>
            </w:pPr>
            <w:r>
              <w:rPr>
                <w:rFonts w:hint="eastAsia" w:ascii="宋体" w:hAnsi="宋体" w:eastAsia="宋体" w:cs="宋体"/>
                <w:color w:val="auto"/>
                <w:sz w:val="18"/>
                <w:szCs w:val="18"/>
              </w:rPr>
              <w:t>制冷系统按5.10的方法进行密封性试验后，任何部位制冷剂年泄漏量均应不大于0.5g</w:t>
            </w:r>
          </w:p>
        </w:tc>
        <w:tc>
          <w:tcPr>
            <w:tcW w:w="1634" w:type="pct"/>
            <w:gridSpan w:val="4"/>
            <w:vAlign w:val="center"/>
          </w:tcPr>
          <w:p>
            <w:pPr>
              <w:keepNext w:val="0"/>
              <w:keepLines w:val="0"/>
              <w:pageBreakBefore w:val="0"/>
              <w:kinsoku/>
              <w:wordWrap/>
              <w:overflowPunct/>
              <w:topLinePunct w:val="0"/>
              <w:bidi w:val="0"/>
              <w:adjustRightInd w:val="0"/>
              <w:snapToGrid w:val="0"/>
              <w:jc w:val="left"/>
              <w:textAlignment w:val="auto"/>
              <w:rPr>
                <w:rFonts w:ascii="宋体" w:hAnsi="宋体" w:cs="宋体"/>
                <w:spacing w:val="0"/>
                <w:sz w:val="18"/>
                <w:szCs w:val="18"/>
                <w:shd w:val="clear" w:color="auto" w:fill="auto"/>
                <w:lang w:eastAsia="zh-CN"/>
              </w:rPr>
            </w:pPr>
            <w:r>
              <w:rPr>
                <w:rFonts w:hint="eastAsia" w:ascii="宋体" w:hAnsi="宋体" w:eastAsia="宋体" w:cs="宋体"/>
                <w:spacing w:val="0"/>
                <w:sz w:val="18"/>
                <w:szCs w:val="18"/>
                <w:shd w:val="clear" w:color="auto" w:fill="auto"/>
                <w:lang w:eastAsia="zh-CN"/>
              </w:rPr>
              <w:t>SB/T 10794.2-2012</w:t>
            </w:r>
            <w:r>
              <w:rPr>
                <w:rFonts w:hint="eastAsia" w:ascii="宋体" w:hAnsi="宋体" w:cs="宋体"/>
                <w:spacing w:val="0"/>
                <w:sz w:val="18"/>
                <w:szCs w:val="18"/>
                <w:shd w:val="clear" w:color="auto" w:fill="auto"/>
                <w:lang w:val="en-US" w:eastAsia="zh-CN"/>
              </w:rPr>
              <w:t>中</w:t>
            </w:r>
            <w:r>
              <w:rPr>
                <w:rFonts w:hint="eastAsia" w:ascii="宋体" w:hAnsi="宋体" w:cs="宋体"/>
                <w:spacing w:val="0"/>
                <w:sz w:val="18"/>
                <w:szCs w:val="18"/>
                <w:shd w:val="clear" w:color="auto" w:fill="auto"/>
                <w:lang w:eastAsia="zh-CN"/>
              </w:rPr>
              <w:t>4.1.12.6 制冷系统密封性能应良好,制冷系统的管路,焊接接缝,管件接头等应严格密封。按5.3.11进行单点检漏时,制冷剂年泄漏量不大于0.5g。</w:t>
            </w:r>
          </w:p>
        </w:tc>
        <w:tc>
          <w:tcPr>
            <w:tcW w:w="706" w:type="pct"/>
            <w:shd w:val="clear" w:color="auto" w:fill="auto"/>
            <w:vAlign w:val="center"/>
          </w:tcPr>
          <w:p>
            <w:pPr>
              <w:keepNext w:val="0"/>
              <w:keepLines w:val="0"/>
              <w:pageBreakBefore w:val="0"/>
              <w:kinsoku/>
              <w:wordWrap/>
              <w:overflowPunct/>
              <w:topLinePunct w:val="0"/>
              <w:bidi w:val="0"/>
              <w:adjustRightInd w:val="0"/>
              <w:snapToGrid w:val="0"/>
              <w:jc w:val="center"/>
              <w:textAlignment w:val="auto"/>
              <w:rPr>
                <w:rFonts w:ascii="宋体" w:hAnsi="宋体" w:cs="宋体"/>
                <w:spacing w:val="0"/>
                <w:sz w:val="18"/>
                <w:szCs w:val="18"/>
                <w:shd w:val="clear" w:color="auto" w:fill="auto"/>
                <w:lang w:eastAsia="zh-CN"/>
              </w:rPr>
            </w:pPr>
            <w:r>
              <w:rPr>
                <w:rFonts w:hint="eastAsia" w:ascii="宋体" w:hAnsi="宋体" w:cs="宋体"/>
                <w:spacing w:val="0"/>
                <w:sz w:val="18"/>
                <w:szCs w:val="18"/>
                <w:shd w:val="clear" w:color="auto" w:fill="auto"/>
                <w:lang w:eastAsia="zh-CN"/>
              </w:rPr>
              <w:t>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51" w:hRule="atLeast"/>
          <w:jc w:val="center"/>
        </w:trPr>
        <w:tc>
          <w:tcPr>
            <w:tcW w:w="313" w:type="pct"/>
            <w:vMerge w:val="continue"/>
            <w:shd w:val="clear" w:color="auto" w:fill="auto"/>
            <w:vAlign w:val="center"/>
          </w:tcPr>
          <w:p>
            <w:pPr>
              <w:keepNext w:val="0"/>
              <w:keepLines w:val="0"/>
              <w:pageBreakBefore w:val="0"/>
              <w:kinsoku/>
              <w:wordWrap/>
              <w:overflowPunct/>
              <w:topLinePunct w:val="0"/>
              <w:bidi w:val="0"/>
              <w:jc w:val="center"/>
              <w:textAlignment w:val="auto"/>
              <w:rPr>
                <w:rFonts w:ascii="宋体" w:hAnsi="宋体" w:cs="宋体"/>
                <w:spacing w:val="0"/>
                <w:sz w:val="18"/>
                <w:szCs w:val="18"/>
                <w:shd w:val="clear" w:color="auto" w:fill="auto"/>
                <w:lang w:val="zh-CN" w:eastAsia="zh-CN"/>
              </w:rPr>
            </w:pPr>
          </w:p>
        </w:tc>
        <w:tc>
          <w:tcPr>
            <w:tcW w:w="618" w:type="pc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spacing w:val="0"/>
                <w:sz w:val="18"/>
                <w:szCs w:val="18"/>
                <w:shd w:val="clear" w:color="auto" w:fill="auto"/>
                <w:lang w:val="en-US" w:eastAsia="zh-CN"/>
              </w:rPr>
            </w:pPr>
            <w:r>
              <w:rPr>
                <w:rFonts w:hint="eastAsia" w:ascii="宋体" w:hAnsi="宋体" w:cs="宋体"/>
                <w:spacing w:val="0"/>
                <w:sz w:val="18"/>
                <w:szCs w:val="18"/>
                <w:shd w:val="clear" w:color="auto" w:fill="auto"/>
                <w:lang w:val="en-US" w:eastAsia="zh-CN"/>
              </w:rPr>
              <w:t>振动</w:t>
            </w:r>
          </w:p>
        </w:tc>
        <w:tc>
          <w:tcPr>
            <w:tcW w:w="1727" w:type="pct"/>
            <w:gridSpan w:val="3"/>
            <w:vAlign w:val="center"/>
          </w:tcPr>
          <w:p>
            <w:pPr>
              <w:keepNext w:val="0"/>
              <w:keepLines w:val="0"/>
              <w:pageBreakBefore w:val="0"/>
              <w:kinsoku/>
              <w:wordWrap/>
              <w:overflowPunct/>
              <w:topLinePunct w:val="0"/>
              <w:bidi w:val="0"/>
              <w:jc w:val="both"/>
              <w:textAlignment w:val="auto"/>
              <w:rPr>
                <w:rFonts w:hint="eastAsia" w:ascii="宋体" w:hAnsi="宋体" w:eastAsia="宋体" w:cs="宋体"/>
                <w:color w:val="auto"/>
                <w:spacing w:val="0"/>
                <w:sz w:val="18"/>
                <w:szCs w:val="18"/>
                <w:shd w:val="clear" w:color="auto" w:fill="auto"/>
                <w:lang w:val="zh-CN" w:eastAsia="zh-CN"/>
              </w:rPr>
            </w:pPr>
            <w:r>
              <w:rPr>
                <w:rFonts w:hint="eastAsia" w:ascii="宋体" w:hAnsi="宋体" w:eastAsia="宋体" w:cs="宋体"/>
                <w:color w:val="auto"/>
                <w:kern w:val="2"/>
                <w:sz w:val="18"/>
                <w:szCs w:val="18"/>
                <w:lang w:eastAsia="zh-CN"/>
              </w:rPr>
              <w:t>商用冷柜</w:t>
            </w:r>
            <w:r>
              <w:rPr>
                <w:rFonts w:hint="eastAsia" w:ascii="宋体" w:hAnsi="宋体" w:eastAsia="宋体" w:cs="宋体"/>
                <w:color w:val="auto"/>
                <w:sz w:val="18"/>
                <w:szCs w:val="18"/>
              </w:rPr>
              <w:t>应运行平稳。按5.11进行试验时,其振动速度的有效值不大于1.8mm/s</w:t>
            </w:r>
          </w:p>
        </w:tc>
        <w:tc>
          <w:tcPr>
            <w:tcW w:w="1634" w:type="pct"/>
            <w:gridSpan w:val="4"/>
            <w:vAlign w:val="center"/>
          </w:tcPr>
          <w:p>
            <w:pPr>
              <w:keepNext w:val="0"/>
              <w:keepLines w:val="0"/>
              <w:pageBreakBefore w:val="0"/>
              <w:kinsoku/>
              <w:wordWrap/>
              <w:overflowPunct/>
              <w:topLinePunct w:val="0"/>
              <w:bidi w:val="0"/>
              <w:adjustRightInd w:val="0"/>
              <w:snapToGrid w:val="0"/>
              <w:jc w:val="left"/>
              <w:textAlignment w:val="auto"/>
              <w:rPr>
                <w:rFonts w:hint="eastAsia" w:ascii="宋体" w:hAnsi="宋体" w:cs="宋体"/>
                <w:spacing w:val="0"/>
                <w:sz w:val="18"/>
                <w:szCs w:val="18"/>
                <w:shd w:val="clear" w:color="auto" w:fill="auto"/>
                <w:lang w:val="en-US" w:eastAsia="zh-CN"/>
              </w:rPr>
            </w:pPr>
            <w:r>
              <w:rPr>
                <w:rFonts w:hint="eastAsia" w:ascii="宋体" w:hAnsi="宋体" w:eastAsia="宋体" w:cs="宋体"/>
                <w:spacing w:val="0"/>
                <w:sz w:val="18"/>
                <w:szCs w:val="18"/>
                <w:shd w:val="clear" w:color="auto" w:fill="auto"/>
                <w:lang w:eastAsia="zh-CN"/>
              </w:rPr>
              <w:t>SB/T 10794.2-2012</w:t>
            </w:r>
            <w:r>
              <w:rPr>
                <w:rFonts w:hint="eastAsia" w:ascii="宋体" w:hAnsi="宋体" w:cs="宋体"/>
                <w:spacing w:val="0"/>
                <w:sz w:val="18"/>
                <w:szCs w:val="18"/>
                <w:shd w:val="clear" w:color="auto" w:fill="auto"/>
                <w:lang w:val="en-US" w:eastAsia="zh-CN"/>
              </w:rPr>
              <w:t>中4.2.10 振动</w:t>
            </w:r>
          </w:p>
          <w:p>
            <w:pPr>
              <w:keepNext w:val="0"/>
              <w:keepLines w:val="0"/>
              <w:pageBreakBefore w:val="0"/>
              <w:kinsoku/>
              <w:wordWrap/>
              <w:overflowPunct/>
              <w:topLinePunct w:val="0"/>
              <w:bidi w:val="0"/>
              <w:adjustRightInd w:val="0"/>
              <w:snapToGrid w:val="0"/>
              <w:jc w:val="left"/>
              <w:textAlignment w:val="auto"/>
              <w:rPr>
                <w:rFonts w:ascii="宋体" w:hAnsi="宋体" w:cs="宋体"/>
                <w:spacing w:val="0"/>
                <w:sz w:val="18"/>
                <w:szCs w:val="18"/>
                <w:shd w:val="clear" w:color="auto" w:fill="auto"/>
                <w:lang w:eastAsia="zh-CN"/>
              </w:rPr>
            </w:pPr>
            <w:r>
              <w:rPr>
                <w:rFonts w:hint="eastAsia" w:ascii="宋体" w:hAnsi="宋体" w:cs="宋体"/>
                <w:spacing w:val="0"/>
                <w:sz w:val="18"/>
                <w:szCs w:val="18"/>
                <w:shd w:val="clear" w:color="auto" w:fill="auto"/>
                <w:lang w:val="en-US" w:eastAsia="zh-CN"/>
              </w:rPr>
              <w:t>冷柜应运行平稳。按5.3.15进行试验时,其振动速度的有效值不大于1.8mm/s。</w:t>
            </w:r>
          </w:p>
        </w:tc>
        <w:tc>
          <w:tcPr>
            <w:tcW w:w="706" w:type="pct"/>
            <w:shd w:val="clear" w:color="auto" w:fill="auto"/>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cs="宋体"/>
                <w:spacing w:val="0"/>
                <w:sz w:val="18"/>
                <w:szCs w:val="18"/>
                <w:shd w:val="clear" w:color="auto" w:fill="auto"/>
                <w:lang w:val="en-US" w:eastAsia="zh-CN"/>
              </w:rPr>
            </w:pPr>
            <w:r>
              <w:rPr>
                <w:rFonts w:hint="eastAsia" w:ascii="宋体" w:hAnsi="宋体" w:cs="宋体"/>
                <w:spacing w:val="0"/>
                <w:sz w:val="18"/>
                <w:szCs w:val="18"/>
                <w:shd w:val="clear" w:color="auto" w:fill="auto"/>
                <w:lang w:val="en-US" w:eastAsia="zh-CN"/>
              </w:rPr>
              <w:t>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51" w:hRule="atLeast"/>
          <w:jc w:val="center"/>
        </w:trPr>
        <w:tc>
          <w:tcPr>
            <w:tcW w:w="313" w:type="pct"/>
            <w:vMerge w:val="restart"/>
            <w:shd w:val="clear" w:color="auto" w:fill="auto"/>
            <w:vAlign w:val="center"/>
          </w:tcPr>
          <w:p>
            <w:pPr>
              <w:keepNext w:val="0"/>
              <w:keepLines w:val="0"/>
              <w:pageBreakBefore w:val="0"/>
              <w:kinsoku/>
              <w:wordWrap/>
              <w:overflowPunct/>
              <w:topLinePunct w:val="0"/>
              <w:bidi w:val="0"/>
              <w:jc w:val="center"/>
              <w:textAlignment w:val="auto"/>
              <w:rPr>
                <w:rFonts w:ascii="宋体" w:hAnsi="宋体" w:cs="宋体"/>
                <w:spacing w:val="0"/>
                <w:sz w:val="18"/>
                <w:szCs w:val="18"/>
                <w:shd w:val="clear" w:color="auto" w:fill="auto"/>
                <w:lang w:val="zh-CN" w:eastAsia="zh-CN"/>
              </w:rPr>
            </w:pPr>
          </w:p>
        </w:tc>
        <w:tc>
          <w:tcPr>
            <w:tcW w:w="618" w:type="pct"/>
            <w:vMerge w:val="restart"/>
            <w:shd w:val="clear" w:color="auto" w:fill="auto"/>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cs="宋体"/>
                <w:spacing w:val="0"/>
                <w:sz w:val="18"/>
                <w:szCs w:val="18"/>
                <w:shd w:val="clear" w:color="auto" w:fill="auto"/>
                <w:lang w:val="en-US" w:eastAsia="zh-CN" w:bidi="ar-SA"/>
              </w:rPr>
            </w:pPr>
            <w:r>
              <w:rPr>
                <w:rFonts w:hint="eastAsia" w:ascii="宋体" w:hAnsi="宋体" w:eastAsia="宋体" w:cs="宋体"/>
                <w:spacing w:val="0"/>
                <w:sz w:val="18"/>
                <w:szCs w:val="18"/>
                <w:shd w:val="clear" w:color="auto" w:fill="auto"/>
                <w:lang w:val="zh-CN"/>
              </w:rPr>
              <w:t>噪声</w:t>
            </w:r>
          </w:p>
        </w:tc>
        <w:tc>
          <w:tcPr>
            <w:tcW w:w="1727" w:type="pct"/>
            <w:gridSpan w:val="3"/>
            <w:vAlign w:val="center"/>
          </w:tcPr>
          <w:p>
            <w:pPr>
              <w:keepNext w:val="0"/>
              <w:keepLines w:val="0"/>
              <w:pageBreakBefore w:val="0"/>
              <w:kinsoku/>
              <w:wordWrap/>
              <w:overflowPunct/>
              <w:topLinePunct w:val="0"/>
              <w:bidi w:val="0"/>
              <w:jc w:val="center"/>
              <w:textAlignment w:val="auto"/>
              <w:rPr>
                <w:rFonts w:hint="default" w:ascii="宋体" w:hAnsi="宋体" w:eastAsia="宋体" w:cs="宋体"/>
                <w:spacing w:val="0"/>
                <w:sz w:val="18"/>
                <w:szCs w:val="18"/>
                <w:shd w:val="clear" w:color="auto" w:fill="auto"/>
                <w:lang w:val="en-US" w:eastAsia="zh-CN"/>
              </w:rPr>
            </w:pPr>
            <w:r>
              <w:rPr>
                <w:rFonts w:hint="eastAsia" w:ascii="宋体" w:hAnsi="宋体" w:cs="宋体"/>
                <w:spacing w:val="0"/>
                <w:sz w:val="18"/>
                <w:szCs w:val="18"/>
                <w:shd w:val="clear" w:color="auto" w:fill="auto"/>
                <w:lang w:val="zh-CN" w:eastAsia="zh-CN"/>
              </w:rPr>
              <w:t>标准中表</w:t>
            </w:r>
            <w:r>
              <w:rPr>
                <w:rFonts w:hint="eastAsia" w:ascii="宋体" w:hAnsi="宋体" w:cs="宋体"/>
                <w:spacing w:val="0"/>
                <w:sz w:val="18"/>
                <w:szCs w:val="18"/>
                <w:shd w:val="clear" w:color="auto" w:fill="auto"/>
                <w:lang w:val="en-US" w:eastAsia="zh-CN"/>
              </w:rPr>
              <w:t>2规定的噪声</w:t>
            </w:r>
          </w:p>
        </w:tc>
        <w:tc>
          <w:tcPr>
            <w:tcW w:w="1634" w:type="pct"/>
            <w:gridSpan w:val="4"/>
            <w:vAlign w:val="center"/>
          </w:tcPr>
          <w:p>
            <w:pPr>
              <w:keepNext w:val="0"/>
              <w:keepLines w:val="0"/>
              <w:pageBreakBefore w:val="0"/>
              <w:kinsoku/>
              <w:wordWrap/>
              <w:overflowPunct/>
              <w:topLinePunct w:val="0"/>
              <w:bidi w:val="0"/>
              <w:adjustRightInd w:val="0"/>
              <w:snapToGrid w:val="0"/>
              <w:jc w:val="left"/>
              <w:textAlignment w:val="auto"/>
              <w:rPr>
                <w:rFonts w:hint="eastAsia" w:ascii="宋体" w:hAnsi="宋体" w:cs="宋体"/>
                <w:spacing w:val="0"/>
                <w:sz w:val="18"/>
                <w:szCs w:val="18"/>
                <w:shd w:val="clear" w:color="auto" w:fill="auto"/>
                <w:lang w:val="en-US" w:eastAsia="zh-CN"/>
              </w:rPr>
            </w:pPr>
            <w:r>
              <w:rPr>
                <w:rFonts w:hint="eastAsia" w:ascii="宋体" w:hAnsi="宋体" w:eastAsia="宋体" w:cs="宋体"/>
                <w:spacing w:val="0"/>
                <w:sz w:val="18"/>
                <w:szCs w:val="18"/>
                <w:shd w:val="clear" w:color="auto" w:fill="auto"/>
                <w:lang w:eastAsia="zh-CN"/>
              </w:rPr>
              <w:t>SB/T 10794.2-2012</w:t>
            </w:r>
            <w:r>
              <w:rPr>
                <w:rFonts w:hint="eastAsia" w:ascii="宋体" w:hAnsi="宋体" w:cs="宋体"/>
                <w:spacing w:val="0"/>
                <w:sz w:val="18"/>
                <w:szCs w:val="18"/>
                <w:shd w:val="clear" w:color="auto" w:fill="auto"/>
                <w:lang w:val="en-US" w:eastAsia="zh-CN"/>
              </w:rPr>
              <w:t>中4.2.11规定的内容</w:t>
            </w:r>
          </w:p>
        </w:tc>
        <w:tc>
          <w:tcPr>
            <w:tcW w:w="706" w:type="pct"/>
            <w:vMerge w:val="restart"/>
            <w:shd w:val="clear" w:color="auto" w:fill="auto"/>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cs="宋体"/>
                <w:spacing w:val="0"/>
                <w:sz w:val="18"/>
                <w:szCs w:val="18"/>
                <w:shd w:val="clear" w:color="auto" w:fill="auto"/>
                <w:lang w:eastAsia="zh-CN"/>
              </w:rPr>
            </w:pPr>
            <w:r>
              <w:rPr>
                <w:rFonts w:hint="eastAsia" w:ascii="宋体" w:hAnsi="宋体" w:cs="宋体"/>
                <w:spacing w:val="0"/>
                <w:sz w:val="18"/>
                <w:szCs w:val="18"/>
                <w:shd w:val="clear" w:color="auto" w:fill="auto"/>
                <w:lang w:eastAsia="zh-CN"/>
              </w:rPr>
              <w:t>优于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43" w:hRule="atLeast"/>
          <w:jc w:val="center"/>
        </w:trPr>
        <w:tc>
          <w:tcPr>
            <w:tcW w:w="313" w:type="pct"/>
            <w:vMerge w:val="continue"/>
            <w:shd w:val="clear" w:color="auto" w:fill="auto"/>
            <w:vAlign w:val="center"/>
          </w:tcPr>
          <w:p>
            <w:pPr>
              <w:keepNext w:val="0"/>
              <w:keepLines w:val="0"/>
              <w:pageBreakBefore w:val="0"/>
              <w:kinsoku/>
              <w:wordWrap/>
              <w:overflowPunct/>
              <w:topLinePunct w:val="0"/>
              <w:bidi w:val="0"/>
              <w:jc w:val="center"/>
              <w:textAlignment w:val="auto"/>
              <w:rPr>
                <w:rFonts w:ascii="宋体" w:hAnsi="宋体" w:cs="宋体"/>
                <w:spacing w:val="0"/>
                <w:sz w:val="18"/>
                <w:szCs w:val="18"/>
                <w:shd w:val="clear" w:color="auto" w:fill="auto"/>
                <w:lang w:val="zh-CN" w:eastAsia="zh-CN"/>
              </w:rPr>
            </w:pPr>
          </w:p>
        </w:tc>
        <w:tc>
          <w:tcPr>
            <w:tcW w:w="618" w:type="pct"/>
            <w:vMerge w:val="continue"/>
            <w:shd w:val="clear" w:color="auto" w:fill="auto"/>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cs="宋体"/>
                <w:spacing w:val="0"/>
                <w:sz w:val="18"/>
                <w:szCs w:val="18"/>
                <w:shd w:val="clear" w:color="auto" w:fill="auto"/>
                <w:lang w:val="en-US" w:eastAsia="zh-CN" w:bidi="ar-SA"/>
              </w:rPr>
            </w:pPr>
          </w:p>
        </w:tc>
        <w:tc>
          <w:tcPr>
            <w:tcW w:w="823" w:type="pct"/>
            <w:vMerge w:val="restart"/>
            <w:vAlign w:val="center"/>
          </w:tcPr>
          <w:p>
            <w:pPr>
              <w:keepNext w:val="0"/>
              <w:keepLines w:val="0"/>
              <w:pageBreakBefore w:val="0"/>
              <w:numPr>
                <w:ilvl w:val="0"/>
                <w:numId w:val="0"/>
              </w:numPr>
              <w:tabs>
                <w:tab w:val="left" w:pos="850"/>
              </w:tabs>
              <w:kinsoku/>
              <w:wordWrap/>
              <w:overflowPunct/>
              <w:topLinePunct w:val="0"/>
              <w:bidi w:val="0"/>
              <w:ind w:left="0" w:leftChars="0" w:firstLine="0" w:firstLineChars="0"/>
              <w:jc w:val="center"/>
              <w:textAlignment w:val="auto"/>
              <w:rPr>
                <w:rFonts w:hint="eastAsia" w:ascii="宋体" w:hAnsi="宋体" w:eastAsia="宋体" w:cs="宋体"/>
                <w:spacing w:val="0"/>
                <w:sz w:val="18"/>
                <w:szCs w:val="18"/>
                <w:shd w:val="clear" w:color="auto" w:fill="auto"/>
                <w:lang w:val="en-US" w:eastAsia="zh-CN" w:bidi="ar-SA"/>
              </w:rPr>
            </w:pPr>
            <w:r>
              <w:rPr>
                <w:rFonts w:hint="eastAsia" w:ascii="宋体" w:hAnsi="宋体" w:eastAsia="宋体" w:cs="宋体"/>
                <w:spacing w:val="0"/>
                <w:sz w:val="18"/>
                <w:szCs w:val="18"/>
                <w:shd w:val="clear" w:color="auto" w:fill="auto"/>
              </w:rPr>
              <w:t>功率</w:t>
            </w:r>
            <w:r>
              <w:rPr>
                <w:rFonts w:hint="eastAsia" w:ascii="宋体" w:hAnsi="宋体" w:eastAsia="宋体" w:cs="宋体"/>
                <w:i/>
                <w:iCs/>
                <w:spacing w:val="0"/>
                <w:sz w:val="18"/>
                <w:szCs w:val="18"/>
                <w:shd w:val="clear" w:color="auto" w:fill="auto"/>
              </w:rPr>
              <w:t>P</w:t>
            </w:r>
            <w:r>
              <w:rPr>
                <w:rFonts w:hint="eastAsia" w:ascii="宋体" w:hAnsi="宋体" w:eastAsia="宋体" w:cs="宋体"/>
                <w:spacing w:val="0"/>
                <w:sz w:val="18"/>
                <w:szCs w:val="18"/>
                <w:shd w:val="clear" w:color="auto" w:fill="auto"/>
              </w:rPr>
              <w:t>（kW）</w:t>
            </w:r>
          </w:p>
        </w:tc>
        <w:tc>
          <w:tcPr>
            <w:tcW w:w="903" w:type="pct"/>
            <w:gridSpan w:val="2"/>
            <w:vAlign w:val="center"/>
          </w:tcPr>
          <w:p>
            <w:pPr>
              <w:keepNext w:val="0"/>
              <w:keepLines w:val="0"/>
              <w:pageBreakBefore w:val="0"/>
              <w:kinsoku/>
              <w:wordWrap/>
              <w:overflowPunct/>
              <w:topLinePunct w:val="0"/>
              <w:bidi w:val="0"/>
              <w:adjustRightInd w:val="0"/>
              <w:snapToGrid w:val="0"/>
              <w:jc w:val="center"/>
              <w:textAlignment w:val="auto"/>
              <w:rPr>
                <w:rFonts w:ascii="宋体" w:hAnsi="宋体" w:cs="宋体"/>
                <w:spacing w:val="0"/>
                <w:sz w:val="18"/>
                <w:szCs w:val="18"/>
                <w:shd w:val="clear" w:color="auto" w:fill="auto"/>
                <w:lang w:eastAsia="zh-CN"/>
              </w:rPr>
            </w:pPr>
            <w:r>
              <w:rPr>
                <w:rFonts w:hint="eastAsia" w:ascii="宋体" w:hAnsi="宋体" w:eastAsia="宋体" w:cs="宋体"/>
                <w:spacing w:val="0"/>
                <w:sz w:val="18"/>
                <w:szCs w:val="18"/>
                <w:shd w:val="clear" w:color="auto" w:fill="auto"/>
              </w:rPr>
              <w:t>噪声声压级，dB（A）</w:t>
            </w:r>
          </w:p>
        </w:tc>
        <w:tc>
          <w:tcPr>
            <w:tcW w:w="547" w:type="pct"/>
            <w:gridSpan w:val="2"/>
            <w:vAlign w:val="center"/>
          </w:tcPr>
          <w:p>
            <w:pPr>
              <w:keepNext w:val="0"/>
              <w:keepLines w:val="0"/>
              <w:pageBreakBefore w:val="0"/>
              <w:kinsoku/>
              <w:wordWrap/>
              <w:overflowPunct/>
              <w:topLinePunct w:val="0"/>
              <w:bidi w:val="0"/>
              <w:adjustRightInd w:val="0"/>
              <w:snapToGrid w:val="0"/>
              <w:jc w:val="left"/>
              <w:textAlignment w:val="auto"/>
              <w:rPr>
                <w:rFonts w:hint="default" w:ascii="宋体" w:hAnsi="宋体" w:cs="宋体"/>
                <w:spacing w:val="0"/>
                <w:sz w:val="18"/>
                <w:szCs w:val="18"/>
                <w:shd w:val="clear" w:color="auto" w:fill="auto"/>
                <w:lang w:val="en-US" w:eastAsia="zh-CN"/>
              </w:rPr>
            </w:pPr>
          </w:p>
        </w:tc>
        <w:tc>
          <w:tcPr>
            <w:tcW w:w="1087" w:type="pct"/>
            <w:gridSpan w:val="2"/>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cs="宋体"/>
                <w:spacing w:val="0"/>
                <w:sz w:val="18"/>
                <w:szCs w:val="18"/>
                <w:shd w:val="clear" w:color="auto" w:fill="auto"/>
              </w:rPr>
            </w:pPr>
            <w:r>
              <w:rPr>
                <w:rFonts w:hint="eastAsia" w:ascii="宋体" w:hAnsi="宋体" w:eastAsia="宋体" w:cs="宋体"/>
                <w:spacing w:val="0"/>
                <w:sz w:val="18"/>
                <w:szCs w:val="18"/>
                <w:shd w:val="clear" w:color="auto" w:fill="auto"/>
              </w:rPr>
              <w:t>噪声声压级，dB（A）</w:t>
            </w:r>
          </w:p>
        </w:tc>
        <w:tc>
          <w:tcPr>
            <w:tcW w:w="706" w:type="pct"/>
            <w:vMerge w:val="continue"/>
            <w:shd w:val="clear" w:color="auto" w:fill="auto"/>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cs="宋体"/>
                <w:spacing w:val="0"/>
                <w:sz w:val="18"/>
                <w:szCs w:val="18"/>
                <w:shd w:val="clear" w:color="auto" w:fill="auto"/>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43" w:hRule="atLeast"/>
          <w:jc w:val="center"/>
        </w:trPr>
        <w:tc>
          <w:tcPr>
            <w:tcW w:w="313" w:type="pct"/>
            <w:vMerge w:val="continue"/>
            <w:shd w:val="clear" w:color="auto" w:fill="auto"/>
            <w:vAlign w:val="center"/>
          </w:tcPr>
          <w:p>
            <w:pPr>
              <w:keepNext w:val="0"/>
              <w:keepLines w:val="0"/>
              <w:pageBreakBefore w:val="0"/>
              <w:kinsoku/>
              <w:wordWrap/>
              <w:overflowPunct/>
              <w:topLinePunct w:val="0"/>
              <w:bidi w:val="0"/>
              <w:adjustRightInd w:val="0"/>
              <w:snapToGrid w:val="0"/>
              <w:jc w:val="center"/>
              <w:textAlignment w:val="auto"/>
              <w:rPr>
                <w:spacing w:val="0"/>
                <w:sz w:val="18"/>
                <w:szCs w:val="18"/>
                <w:shd w:val="clear" w:color="auto" w:fill="auto"/>
              </w:rPr>
            </w:pPr>
          </w:p>
        </w:tc>
        <w:tc>
          <w:tcPr>
            <w:tcW w:w="618" w:type="pct"/>
            <w:vMerge w:val="continue"/>
            <w:shd w:val="clear" w:color="auto" w:fill="auto"/>
            <w:vAlign w:val="center"/>
          </w:tcPr>
          <w:p>
            <w:pPr>
              <w:keepNext w:val="0"/>
              <w:keepLines w:val="0"/>
              <w:pageBreakBefore w:val="0"/>
              <w:kinsoku/>
              <w:wordWrap/>
              <w:overflowPunct/>
              <w:topLinePunct w:val="0"/>
              <w:bidi w:val="0"/>
              <w:adjustRightInd w:val="0"/>
              <w:snapToGrid w:val="0"/>
              <w:jc w:val="center"/>
              <w:textAlignment w:val="auto"/>
              <w:rPr>
                <w:spacing w:val="0"/>
                <w:sz w:val="18"/>
                <w:szCs w:val="18"/>
                <w:shd w:val="clear" w:color="auto" w:fill="auto"/>
              </w:rPr>
            </w:pPr>
          </w:p>
        </w:tc>
        <w:tc>
          <w:tcPr>
            <w:tcW w:w="823" w:type="pct"/>
            <w:vMerge w:val="continue"/>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cs="宋体"/>
                <w:spacing w:val="0"/>
                <w:sz w:val="18"/>
                <w:szCs w:val="18"/>
                <w:shd w:val="clear" w:color="auto" w:fill="auto"/>
              </w:rPr>
            </w:pPr>
          </w:p>
        </w:tc>
        <w:tc>
          <w:tcPr>
            <w:tcW w:w="441" w:type="pct"/>
            <w:vAlign w:val="center"/>
          </w:tcPr>
          <w:p>
            <w:pPr>
              <w:pStyle w:val="20"/>
              <w:keepNext w:val="0"/>
              <w:keepLines w:val="0"/>
              <w:pageBreakBefore w:val="0"/>
              <w:numPr>
                <w:ilvl w:val="0"/>
                <w:numId w:val="0"/>
              </w:numPr>
              <w:tabs>
                <w:tab w:val="left" w:pos="850"/>
              </w:tabs>
              <w:kinsoku/>
              <w:wordWrap/>
              <w:overflowPunct/>
              <w:topLinePunct w:val="0"/>
              <w:bidi w:val="0"/>
              <w:spacing w:beforeLines="0" w:afterLines="0" w:line="240" w:lineRule="auto"/>
              <w:ind w:left="0" w:leftChars="0" w:firstLine="0" w:firstLineChars="0"/>
              <w:jc w:val="center"/>
              <w:textAlignment w:val="auto"/>
              <w:rPr>
                <w:rFonts w:hint="eastAsia" w:ascii="宋体" w:hAnsi="宋体" w:eastAsia="宋体" w:cs="宋体"/>
                <w:spacing w:val="0"/>
                <w:sz w:val="18"/>
                <w:szCs w:val="18"/>
                <w:shd w:val="clear" w:color="auto" w:fill="auto"/>
                <w:lang w:val="en-US" w:eastAsia="zh-CN" w:bidi="ar-SA"/>
              </w:rPr>
            </w:pPr>
            <w:r>
              <w:rPr>
                <w:rFonts w:hint="eastAsia" w:ascii="宋体" w:hAnsi="宋体" w:eastAsia="宋体" w:cs="宋体"/>
                <w:spacing w:val="0"/>
                <w:sz w:val="18"/>
                <w:szCs w:val="18"/>
                <w:shd w:val="clear" w:color="auto" w:fill="auto"/>
              </w:rPr>
              <w:t>不带冷却风扇的冷凝机组</w:t>
            </w:r>
          </w:p>
        </w:tc>
        <w:tc>
          <w:tcPr>
            <w:tcW w:w="462" w:type="pct"/>
            <w:vAlign w:val="center"/>
          </w:tcPr>
          <w:p>
            <w:pPr>
              <w:pStyle w:val="20"/>
              <w:keepNext w:val="0"/>
              <w:keepLines w:val="0"/>
              <w:pageBreakBefore w:val="0"/>
              <w:numPr>
                <w:ilvl w:val="0"/>
                <w:numId w:val="0"/>
              </w:numPr>
              <w:tabs>
                <w:tab w:val="left" w:pos="850"/>
              </w:tabs>
              <w:kinsoku/>
              <w:wordWrap/>
              <w:overflowPunct/>
              <w:topLinePunct w:val="0"/>
              <w:bidi w:val="0"/>
              <w:spacing w:beforeLines="0" w:afterLines="0" w:line="240" w:lineRule="auto"/>
              <w:ind w:left="0" w:leftChars="0" w:firstLine="0" w:firstLineChars="0"/>
              <w:jc w:val="center"/>
              <w:textAlignment w:val="auto"/>
              <w:rPr>
                <w:rFonts w:hint="eastAsia" w:ascii="宋体" w:hAnsi="宋体" w:eastAsia="宋体" w:cs="宋体"/>
                <w:spacing w:val="0"/>
                <w:sz w:val="18"/>
                <w:szCs w:val="18"/>
                <w:shd w:val="clear" w:color="auto" w:fill="auto"/>
                <w:lang w:val="en-US" w:eastAsia="zh-CN" w:bidi="ar-SA"/>
              </w:rPr>
            </w:pPr>
            <w:r>
              <w:rPr>
                <w:rFonts w:hint="eastAsia" w:ascii="宋体" w:hAnsi="宋体" w:eastAsia="宋体" w:cs="宋体"/>
                <w:spacing w:val="0"/>
                <w:sz w:val="18"/>
                <w:szCs w:val="18"/>
                <w:shd w:val="clear" w:color="auto" w:fill="auto"/>
              </w:rPr>
              <w:t>带冷却风扇的冷凝机组</w:t>
            </w:r>
          </w:p>
        </w:tc>
        <w:tc>
          <w:tcPr>
            <w:tcW w:w="544" w:type="pct"/>
            <w:vAlign w:val="center"/>
          </w:tcPr>
          <w:p>
            <w:pPr>
              <w:keepNext w:val="0"/>
              <w:keepLines w:val="0"/>
              <w:pageBreakBefore w:val="0"/>
              <w:kinsoku/>
              <w:wordWrap/>
              <w:overflowPunct/>
              <w:topLinePunct w:val="0"/>
              <w:bidi w:val="0"/>
              <w:adjustRightInd w:val="0"/>
              <w:snapToGrid w:val="0"/>
              <w:jc w:val="center"/>
              <w:textAlignment w:val="auto"/>
              <w:rPr>
                <w:spacing w:val="0"/>
                <w:sz w:val="18"/>
                <w:szCs w:val="18"/>
                <w:shd w:val="clear" w:color="auto" w:fill="auto"/>
              </w:rPr>
            </w:pPr>
            <w:r>
              <w:rPr>
                <w:rFonts w:hint="eastAsia" w:ascii="宋体" w:hAnsi="宋体" w:eastAsia="宋体" w:cs="宋体"/>
                <w:spacing w:val="0"/>
                <w:sz w:val="18"/>
                <w:szCs w:val="18"/>
                <w:shd w:val="clear" w:color="auto" w:fill="auto"/>
              </w:rPr>
              <w:t>功率</w:t>
            </w:r>
            <w:r>
              <w:rPr>
                <w:rFonts w:hint="eastAsia" w:ascii="宋体" w:hAnsi="宋体" w:eastAsia="宋体" w:cs="宋体"/>
                <w:i/>
                <w:iCs/>
                <w:spacing w:val="0"/>
                <w:sz w:val="18"/>
                <w:szCs w:val="18"/>
                <w:shd w:val="clear" w:color="auto" w:fill="auto"/>
              </w:rPr>
              <w:t>P</w:t>
            </w:r>
            <w:r>
              <w:rPr>
                <w:rFonts w:hint="eastAsia" w:ascii="宋体" w:hAnsi="宋体" w:eastAsia="宋体" w:cs="宋体"/>
                <w:spacing w:val="0"/>
                <w:sz w:val="18"/>
                <w:szCs w:val="18"/>
                <w:shd w:val="clear" w:color="auto" w:fill="auto"/>
              </w:rPr>
              <w:t>（kW）</w:t>
            </w:r>
          </w:p>
        </w:tc>
        <w:tc>
          <w:tcPr>
            <w:tcW w:w="544" w:type="pct"/>
            <w:gridSpan w:val="2"/>
            <w:vAlign w:val="center"/>
          </w:tcPr>
          <w:p>
            <w:pPr>
              <w:pStyle w:val="20"/>
              <w:keepNext w:val="0"/>
              <w:keepLines w:val="0"/>
              <w:pageBreakBefore w:val="0"/>
              <w:numPr>
                <w:ilvl w:val="0"/>
                <w:numId w:val="0"/>
              </w:numPr>
              <w:tabs>
                <w:tab w:val="left" w:pos="850"/>
              </w:tabs>
              <w:kinsoku/>
              <w:wordWrap/>
              <w:overflowPunct/>
              <w:topLinePunct w:val="0"/>
              <w:bidi w:val="0"/>
              <w:spacing w:beforeLines="0" w:afterLines="0" w:line="240" w:lineRule="auto"/>
              <w:ind w:left="0" w:leftChars="0" w:firstLine="0" w:firstLineChars="0"/>
              <w:jc w:val="center"/>
              <w:textAlignment w:val="auto"/>
              <w:rPr>
                <w:rFonts w:hint="eastAsia" w:ascii="宋体" w:hAnsi="宋体" w:eastAsia="宋体" w:cs="宋体"/>
                <w:spacing w:val="0"/>
                <w:sz w:val="18"/>
                <w:szCs w:val="18"/>
                <w:shd w:val="clear" w:color="auto" w:fill="auto"/>
                <w:lang w:val="en-US" w:eastAsia="zh-CN" w:bidi="ar-SA"/>
              </w:rPr>
            </w:pPr>
            <w:r>
              <w:rPr>
                <w:rFonts w:hint="eastAsia" w:ascii="宋体" w:hAnsi="宋体" w:eastAsia="宋体" w:cs="宋体"/>
                <w:spacing w:val="0"/>
                <w:sz w:val="18"/>
                <w:szCs w:val="18"/>
                <w:shd w:val="clear" w:color="auto" w:fill="auto"/>
              </w:rPr>
              <w:t>不带冷却风扇的冷凝机组</w:t>
            </w:r>
          </w:p>
        </w:tc>
        <w:tc>
          <w:tcPr>
            <w:tcW w:w="545" w:type="pct"/>
            <w:vAlign w:val="center"/>
          </w:tcPr>
          <w:p>
            <w:pPr>
              <w:pStyle w:val="20"/>
              <w:keepNext w:val="0"/>
              <w:keepLines w:val="0"/>
              <w:pageBreakBefore w:val="0"/>
              <w:numPr>
                <w:ilvl w:val="0"/>
                <w:numId w:val="0"/>
              </w:numPr>
              <w:tabs>
                <w:tab w:val="left" w:pos="850"/>
              </w:tabs>
              <w:kinsoku/>
              <w:wordWrap/>
              <w:overflowPunct/>
              <w:topLinePunct w:val="0"/>
              <w:bidi w:val="0"/>
              <w:spacing w:beforeLines="0" w:afterLines="0" w:line="240" w:lineRule="auto"/>
              <w:ind w:left="0" w:leftChars="0" w:firstLine="0" w:firstLineChars="0"/>
              <w:jc w:val="center"/>
              <w:textAlignment w:val="auto"/>
              <w:rPr>
                <w:rFonts w:hint="eastAsia" w:ascii="宋体" w:hAnsi="宋体" w:eastAsia="宋体" w:cs="宋体"/>
                <w:spacing w:val="0"/>
                <w:sz w:val="18"/>
                <w:szCs w:val="18"/>
                <w:shd w:val="clear" w:color="auto" w:fill="auto"/>
                <w:lang w:val="en-US" w:eastAsia="zh-CN" w:bidi="ar-SA"/>
              </w:rPr>
            </w:pPr>
            <w:r>
              <w:rPr>
                <w:rFonts w:hint="eastAsia" w:ascii="宋体" w:hAnsi="宋体" w:eastAsia="宋体" w:cs="宋体"/>
                <w:spacing w:val="0"/>
                <w:sz w:val="18"/>
                <w:szCs w:val="18"/>
                <w:shd w:val="clear" w:color="auto" w:fill="auto"/>
              </w:rPr>
              <w:t>带冷却风扇的冷凝机组</w:t>
            </w:r>
          </w:p>
        </w:tc>
        <w:tc>
          <w:tcPr>
            <w:tcW w:w="706" w:type="pct"/>
            <w:vMerge w:val="continue"/>
            <w:shd w:val="clear" w:color="auto" w:fill="auto"/>
            <w:vAlign w:val="center"/>
          </w:tcPr>
          <w:p>
            <w:pPr>
              <w:keepNext w:val="0"/>
              <w:keepLines w:val="0"/>
              <w:pageBreakBefore w:val="0"/>
              <w:kinsoku/>
              <w:wordWrap/>
              <w:overflowPunct/>
              <w:topLinePunct w:val="0"/>
              <w:bidi w:val="0"/>
              <w:adjustRightInd w:val="0"/>
              <w:snapToGrid w:val="0"/>
              <w:jc w:val="center"/>
              <w:textAlignment w:val="auto"/>
              <w:rPr>
                <w:spacing w:val="0"/>
                <w:sz w:val="18"/>
                <w:szCs w:val="18"/>
                <w:shd w:val="clear" w:color="auto" w:fil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90" w:hRule="atLeast"/>
          <w:jc w:val="center"/>
        </w:trPr>
        <w:tc>
          <w:tcPr>
            <w:tcW w:w="313" w:type="pct"/>
            <w:vMerge w:val="continue"/>
            <w:shd w:val="clear" w:color="auto" w:fill="auto"/>
            <w:vAlign w:val="center"/>
          </w:tcPr>
          <w:p>
            <w:pPr>
              <w:keepNext w:val="0"/>
              <w:keepLines w:val="0"/>
              <w:pageBreakBefore w:val="0"/>
              <w:kinsoku/>
              <w:wordWrap/>
              <w:overflowPunct/>
              <w:topLinePunct w:val="0"/>
              <w:bidi w:val="0"/>
              <w:adjustRightInd w:val="0"/>
              <w:snapToGrid w:val="0"/>
              <w:jc w:val="center"/>
              <w:textAlignment w:val="auto"/>
              <w:rPr>
                <w:spacing w:val="0"/>
                <w:sz w:val="18"/>
                <w:szCs w:val="18"/>
                <w:shd w:val="clear" w:color="auto" w:fill="auto"/>
              </w:rPr>
            </w:pPr>
          </w:p>
        </w:tc>
        <w:tc>
          <w:tcPr>
            <w:tcW w:w="618" w:type="pct"/>
            <w:vMerge w:val="continue"/>
            <w:shd w:val="clear" w:color="auto" w:fill="auto"/>
            <w:vAlign w:val="center"/>
          </w:tcPr>
          <w:p>
            <w:pPr>
              <w:keepNext w:val="0"/>
              <w:keepLines w:val="0"/>
              <w:pageBreakBefore w:val="0"/>
              <w:kinsoku/>
              <w:wordWrap/>
              <w:overflowPunct/>
              <w:topLinePunct w:val="0"/>
              <w:bidi w:val="0"/>
              <w:adjustRightInd w:val="0"/>
              <w:snapToGrid w:val="0"/>
              <w:jc w:val="center"/>
              <w:textAlignment w:val="auto"/>
              <w:rPr>
                <w:spacing w:val="0"/>
                <w:sz w:val="18"/>
                <w:szCs w:val="18"/>
                <w:shd w:val="clear" w:color="auto" w:fill="auto"/>
              </w:rPr>
            </w:pPr>
          </w:p>
        </w:tc>
        <w:tc>
          <w:tcPr>
            <w:tcW w:w="823" w:type="pct"/>
            <w:vAlign w:val="center"/>
          </w:tcPr>
          <w:p>
            <w:pPr>
              <w:pStyle w:val="20"/>
              <w:keepNext w:val="0"/>
              <w:keepLines w:val="0"/>
              <w:pageBreakBefore w:val="0"/>
              <w:numPr>
                <w:ilvl w:val="0"/>
                <w:numId w:val="0"/>
              </w:numPr>
              <w:tabs>
                <w:tab w:val="left" w:pos="850"/>
              </w:tabs>
              <w:kinsoku/>
              <w:wordWrap/>
              <w:overflowPunct/>
              <w:topLinePunct w:val="0"/>
              <w:bidi w:val="0"/>
              <w:spacing w:beforeLines="0" w:afterLines="0" w:line="240" w:lineRule="auto"/>
              <w:ind w:left="0" w:leftChars="0" w:firstLine="0" w:firstLineChars="0"/>
              <w:jc w:val="center"/>
              <w:textAlignment w:val="auto"/>
              <w:rPr>
                <w:rFonts w:hint="eastAsia" w:ascii="宋体" w:hAnsi="宋体" w:eastAsia="宋体" w:cs="宋体"/>
                <w:spacing w:val="0"/>
                <w:sz w:val="18"/>
                <w:szCs w:val="18"/>
                <w:shd w:val="clear" w:color="auto" w:fill="auto"/>
                <w:lang w:val="en-US" w:eastAsia="zh-CN" w:bidi="ar-SA"/>
              </w:rPr>
            </w:pPr>
            <w:r>
              <w:rPr>
                <w:rFonts w:hint="eastAsia" w:ascii="宋体" w:hAnsi="宋体" w:eastAsia="宋体" w:cs="宋体"/>
                <w:i/>
                <w:iCs/>
                <w:spacing w:val="0"/>
                <w:sz w:val="18"/>
                <w:szCs w:val="18"/>
                <w:shd w:val="clear" w:color="auto" w:fill="auto"/>
              </w:rPr>
              <w:t>P</w:t>
            </w:r>
            <w:r>
              <w:rPr>
                <w:rFonts w:hint="eastAsia" w:ascii="宋体" w:hAnsi="宋体" w:eastAsia="宋体" w:cs="宋体"/>
                <w:spacing w:val="0"/>
                <w:sz w:val="18"/>
                <w:szCs w:val="18"/>
                <w:shd w:val="clear" w:color="auto" w:fill="auto"/>
              </w:rPr>
              <w:t>≤0.25</w:t>
            </w:r>
          </w:p>
        </w:tc>
        <w:tc>
          <w:tcPr>
            <w:tcW w:w="441" w:type="pct"/>
            <w:vAlign w:val="center"/>
          </w:tcPr>
          <w:p>
            <w:pPr>
              <w:pStyle w:val="20"/>
              <w:keepNext w:val="0"/>
              <w:keepLines w:val="0"/>
              <w:pageBreakBefore w:val="0"/>
              <w:numPr>
                <w:ilvl w:val="0"/>
                <w:numId w:val="0"/>
              </w:numPr>
              <w:tabs>
                <w:tab w:val="left" w:pos="850"/>
              </w:tabs>
              <w:kinsoku/>
              <w:wordWrap/>
              <w:overflowPunct/>
              <w:topLinePunct w:val="0"/>
              <w:bidi w:val="0"/>
              <w:spacing w:beforeLines="0" w:afterLines="0" w:line="240" w:lineRule="auto"/>
              <w:ind w:left="0" w:leftChars="0" w:firstLine="0" w:firstLineChars="0"/>
              <w:jc w:val="center"/>
              <w:textAlignment w:val="auto"/>
              <w:rPr>
                <w:rFonts w:hint="eastAsia" w:ascii="宋体" w:hAnsi="宋体" w:eastAsia="宋体" w:cs="宋体"/>
                <w:spacing w:val="0"/>
                <w:sz w:val="18"/>
                <w:szCs w:val="18"/>
                <w:shd w:val="clear" w:color="auto" w:fill="auto"/>
                <w:lang w:val="en-US" w:eastAsia="zh-CN" w:bidi="ar-SA"/>
              </w:rPr>
            </w:pPr>
            <w:r>
              <w:rPr>
                <w:rFonts w:hint="eastAsia" w:ascii="宋体" w:hAnsi="宋体" w:eastAsia="宋体" w:cs="宋体"/>
                <w:spacing w:val="0"/>
                <w:sz w:val="18"/>
                <w:szCs w:val="18"/>
                <w:shd w:val="clear" w:color="auto" w:fill="auto"/>
              </w:rPr>
              <w:t>≤48</w:t>
            </w:r>
          </w:p>
        </w:tc>
        <w:tc>
          <w:tcPr>
            <w:tcW w:w="462" w:type="pct"/>
            <w:vAlign w:val="center"/>
          </w:tcPr>
          <w:p>
            <w:pPr>
              <w:pStyle w:val="20"/>
              <w:keepNext w:val="0"/>
              <w:keepLines w:val="0"/>
              <w:pageBreakBefore w:val="0"/>
              <w:numPr>
                <w:ilvl w:val="1"/>
                <w:numId w:val="0"/>
              </w:numPr>
              <w:tabs>
                <w:tab w:val="left" w:pos="850"/>
              </w:tabs>
              <w:kinsoku/>
              <w:wordWrap/>
              <w:overflowPunct/>
              <w:topLinePunct w:val="0"/>
              <w:bidi w:val="0"/>
              <w:spacing w:beforeLines="0" w:afterLines="0" w:line="240" w:lineRule="auto"/>
              <w:ind w:left="0" w:leftChars="0" w:firstLine="0" w:firstLineChars="0"/>
              <w:jc w:val="center"/>
              <w:textAlignment w:val="auto"/>
              <w:rPr>
                <w:rFonts w:hint="eastAsia" w:ascii="宋体" w:hAnsi="宋体" w:eastAsia="宋体" w:cs="宋体"/>
                <w:spacing w:val="0"/>
                <w:sz w:val="18"/>
                <w:szCs w:val="18"/>
                <w:shd w:val="clear" w:color="auto" w:fill="auto"/>
                <w:lang w:val="en-US" w:eastAsia="zh-CN" w:bidi="ar-SA"/>
              </w:rPr>
            </w:pPr>
            <w:r>
              <w:rPr>
                <w:rFonts w:hint="eastAsia" w:ascii="宋体" w:hAnsi="宋体" w:eastAsia="宋体" w:cs="宋体"/>
                <w:spacing w:val="0"/>
                <w:sz w:val="18"/>
                <w:szCs w:val="18"/>
                <w:shd w:val="clear" w:color="auto" w:fill="auto"/>
              </w:rPr>
              <w:t>≤50</w:t>
            </w:r>
          </w:p>
        </w:tc>
        <w:tc>
          <w:tcPr>
            <w:tcW w:w="544" w:type="pct"/>
            <w:vAlign w:val="center"/>
          </w:tcPr>
          <w:p>
            <w:pPr>
              <w:pStyle w:val="20"/>
              <w:keepNext w:val="0"/>
              <w:keepLines w:val="0"/>
              <w:pageBreakBefore w:val="0"/>
              <w:numPr>
                <w:ilvl w:val="0"/>
                <w:numId w:val="0"/>
              </w:numPr>
              <w:tabs>
                <w:tab w:val="left" w:pos="850"/>
              </w:tabs>
              <w:kinsoku/>
              <w:wordWrap/>
              <w:overflowPunct/>
              <w:topLinePunct w:val="0"/>
              <w:bidi w:val="0"/>
              <w:spacing w:beforeLines="0" w:afterLines="0" w:line="240" w:lineRule="auto"/>
              <w:ind w:left="0" w:leftChars="0" w:firstLine="0" w:firstLineChars="0"/>
              <w:jc w:val="center"/>
              <w:textAlignment w:val="auto"/>
              <w:rPr>
                <w:rFonts w:hint="eastAsia" w:ascii="宋体" w:hAnsi="宋体" w:eastAsia="宋体" w:cs="宋体"/>
                <w:spacing w:val="0"/>
                <w:sz w:val="18"/>
                <w:szCs w:val="18"/>
                <w:shd w:val="clear" w:color="auto" w:fill="auto"/>
                <w:lang w:val="en-US" w:eastAsia="zh-CN" w:bidi="ar-SA"/>
              </w:rPr>
            </w:pPr>
            <w:r>
              <w:rPr>
                <w:rFonts w:hint="eastAsia" w:ascii="宋体" w:hAnsi="宋体" w:eastAsia="宋体" w:cs="宋体"/>
                <w:i/>
                <w:iCs/>
                <w:spacing w:val="0"/>
                <w:sz w:val="18"/>
                <w:szCs w:val="18"/>
                <w:shd w:val="clear" w:color="auto" w:fill="auto"/>
              </w:rPr>
              <w:t>P</w:t>
            </w:r>
            <w:r>
              <w:rPr>
                <w:rFonts w:hint="eastAsia" w:ascii="宋体" w:hAnsi="宋体" w:eastAsia="宋体" w:cs="宋体"/>
                <w:spacing w:val="0"/>
                <w:sz w:val="18"/>
                <w:szCs w:val="18"/>
                <w:shd w:val="clear" w:color="auto" w:fill="auto"/>
              </w:rPr>
              <w:t>≤0.</w:t>
            </w:r>
            <w:r>
              <w:rPr>
                <w:rFonts w:hint="eastAsia" w:hAnsi="宋体" w:cs="宋体"/>
                <w:spacing w:val="0"/>
                <w:sz w:val="18"/>
                <w:szCs w:val="18"/>
                <w:shd w:val="clear" w:color="auto" w:fill="auto"/>
                <w:lang w:val="en-US" w:eastAsia="zh-CN"/>
              </w:rPr>
              <w:t>7</w:t>
            </w:r>
            <w:r>
              <w:rPr>
                <w:rFonts w:hint="eastAsia" w:ascii="宋体" w:hAnsi="宋体" w:eastAsia="宋体" w:cs="宋体"/>
                <w:spacing w:val="0"/>
                <w:sz w:val="18"/>
                <w:szCs w:val="18"/>
                <w:shd w:val="clear" w:color="auto" w:fill="auto"/>
              </w:rPr>
              <w:t>5</w:t>
            </w:r>
          </w:p>
        </w:tc>
        <w:tc>
          <w:tcPr>
            <w:tcW w:w="544" w:type="pct"/>
            <w:gridSpan w:val="2"/>
            <w:vAlign w:val="center"/>
          </w:tcPr>
          <w:p>
            <w:pPr>
              <w:pStyle w:val="20"/>
              <w:keepNext w:val="0"/>
              <w:keepLines w:val="0"/>
              <w:pageBreakBefore w:val="0"/>
              <w:numPr>
                <w:ilvl w:val="0"/>
                <w:numId w:val="0"/>
              </w:numPr>
              <w:tabs>
                <w:tab w:val="left" w:pos="850"/>
              </w:tabs>
              <w:kinsoku/>
              <w:wordWrap/>
              <w:overflowPunct/>
              <w:topLinePunct w:val="0"/>
              <w:bidi w:val="0"/>
              <w:spacing w:beforeLines="0" w:afterLines="0" w:line="240" w:lineRule="auto"/>
              <w:ind w:left="0" w:leftChars="0" w:firstLine="0" w:firstLineChars="0"/>
              <w:jc w:val="center"/>
              <w:textAlignment w:val="auto"/>
              <w:rPr>
                <w:rFonts w:hint="default" w:ascii="宋体" w:hAnsi="宋体" w:eastAsia="宋体" w:cs="宋体"/>
                <w:spacing w:val="0"/>
                <w:sz w:val="18"/>
                <w:szCs w:val="18"/>
                <w:shd w:val="clear" w:color="auto" w:fill="auto"/>
                <w:lang w:val="en-US" w:eastAsia="zh-CN" w:bidi="ar-SA"/>
              </w:rPr>
            </w:pPr>
            <w:r>
              <w:rPr>
                <w:rFonts w:hint="eastAsia" w:ascii="宋体" w:hAnsi="宋体" w:eastAsia="宋体" w:cs="宋体"/>
                <w:spacing w:val="0"/>
                <w:sz w:val="18"/>
                <w:szCs w:val="18"/>
                <w:shd w:val="clear" w:color="auto" w:fill="auto"/>
              </w:rPr>
              <w:t>≤</w:t>
            </w:r>
            <w:r>
              <w:rPr>
                <w:rFonts w:hint="eastAsia" w:hAnsi="宋体" w:cs="宋体"/>
                <w:spacing w:val="0"/>
                <w:sz w:val="18"/>
                <w:szCs w:val="18"/>
                <w:shd w:val="clear" w:color="auto" w:fill="auto"/>
                <w:lang w:val="en-US" w:eastAsia="zh-CN"/>
              </w:rPr>
              <w:t>59</w:t>
            </w:r>
          </w:p>
        </w:tc>
        <w:tc>
          <w:tcPr>
            <w:tcW w:w="545" w:type="pct"/>
            <w:vAlign w:val="center"/>
          </w:tcPr>
          <w:p>
            <w:pPr>
              <w:pStyle w:val="20"/>
              <w:keepNext w:val="0"/>
              <w:keepLines w:val="0"/>
              <w:pageBreakBefore w:val="0"/>
              <w:numPr>
                <w:ilvl w:val="1"/>
                <w:numId w:val="0"/>
              </w:numPr>
              <w:tabs>
                <w:tab w:val="left" w:pos="850"/>
              </w:tabs>
              <w:kinsoku/>
              <w:wordWrap/>
              <w:overflowPunct/>
              <w:topLinePunct w:val="0"/>
              <w:bidi w:val="0"/>
              <w:spacing w:beforeLines="0" w:afterLines="0" w:line="240" w:lineRule="auto"/>
              <w:ind w:left="0" w:leftChars="0" w:firstLine="0" w:firstLineChars="0"/>
              <w:jc w:val="center"/>
              <w:textAlignment w:val="auto"/>
              <w:rPr>
                <w:rFonts w:hint="default" w:ascii="宋体" w:hAnsi="宋体" w:eastAsia="宋体" w:cs="宋体"/>
                <w:spacing w:val="0"/>
                <w:sz w:val="18"/>
                <w:szCs w:val="18"/>
                <w:shd w:val="clear" w:color="auto" w:fill="auto"/>
                <w:lang w:val="en-US" w:eastAsia="zh-CN" w:bidi="ar-SA"/>
              </w:rPr>
            </w:pPr>
            <w:r>
              <w:rPr>
                <w:rFonts w:hint="eastAsia" w:ascii="宋体" w:hAnsi="宋体" w:eastAsia="宋体" w:cs="宋体"/>
                <w:spacing w:val="0"/>
                <w:sz w:val="18"/>
                <w:szCs w:val="18"/>
                <w:shd w:val="clear" w:color="auto" w:fill="auto"/>
              </w:rPr>
              <w:t>≤</w:t>
            </w:r>
            <w:r>
              <w:rPr>
                <w:rFonts w:hint="eastAsia" w:hAnsi="宋体" w:cs="宋体"/>
                <w:spacing w:val="0"/>
                <w:sz w:val="18"/>
                <w:szCs w:val="18"/>
                <w:shd w:val="clear" w:color="auto" w:fill="auto"/>
                <w:lang w:val="en-US" w:eastAsia="zh-CN"/>
              </w:rPr>
              <w:t>61</w:t>
            </w:r>
          </w:p>
        </w:tc>
        <w:tc>
          <w:tcPr>
            <w:tcW w:w="706" w:type="pct"/>
            <w:vMerge w:val="continue"/>
            <w:shd w:val="clear" w:color="auto" w:fill="auto"/>
            <w:vAlign w:val="center"/>
          </w:tcPr>
          <w:p>
            <w:pPr>
              <w:keepNext w:val="0"/>
              <w:keepLines w:val="0"/>
              <w:pageBreakBefore w:val="0"/>
              <w:kinsoku/>
              <w:wordWrap/>
              <w:overflowPunct/>
              <w:topLinePunct w:val="0"/>
              <w:bidi w:val="0"/>
              <w:adjustRightInd w:val="0"/>
              <w:snapToGrid w:val="0"/>
              <w:jc w:val="center"/>
              <w:textAlignment w:val="auto"/>
              <w:rPr>
                <w:spacing w:val="0"/>
                <w:sz w:val="18"/>
                <w:szCs w:val="18"/>
                <w:shd w:val="clear" w:color="auto" w:fil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43" w:hRule="atLeast"/>
          <w:jc w:val="center"/>
        </w:trPr>
        <w:tc>
          <w:tcPr>
            <w:tcW w:w="313" w:type="pct"/>
            <w:vMerge w:val="continue"/>
            <w:shd w:val="clear" w:color="auto" w:fill="auto"/>
            <w:vAlign w:val="center"/>
          </w:tcPr>
          <w:p>
            <w:pPr>
              <w:keepNext w:val="0"/>
              <w:keepLines w:val="0"/>
              <w:pageBreakBefore w:val="0"/>
              <w:kinsoku/>
              <w:wordWrap/>
              <w:overflowPunct/>
              <w:topLinePunct w:val="0"/>
              <w:bidi w:val="0"/>
              <w:adjustRightInd w:val="0"/>
              <w:snapToGrid w:val="0"/>
              <w:jc w:val="center"/>
              <w:textAlignment w:val="auto"/>
              <w:rPr>
                <w:spacing w:val="0"/>
                <w:sz w:val="18"/>
                <w:szCs w:val="18"/>
                <w:shd w:val="clear" w:color="auto" w:fill="auto"/>
              </w:rPr>
            </w:pPr>
          </w:p>
        </w:tc>
        <w:tc>
          <w:tcPr>
            <w:tcW w:w="618" w:type="pct"/>
            <w:vMerge w:val="continue"/>
            <w:shd w:val="clear" w:color="auto" w:fill="auto"/>
            <w:vAlign w:val="center"/>
          </w:tcPr>
          <w:p>
            <w:pPr>
              <w:keepNext w:val="0"/>
              <w:keepLines w:val="0"/>
              <w:pageBreakBefore w:val="0"/>
              <w:kinsoku/>
              <w:wordWrap/>
              <w:overflowPunct/>
              <w:topLinePunct w:val="0"/>
              <w:bidi w:val="0"/>
              <w:adjustRightInd w:val="0"/>
              <w:snapToGrid w:val="0"/>
              <w:jc w:val="center"/>
              <w:textAlignment w:val="auto"/>
              <w:rPr>
                <w:spacing w:val="0"/>
                <w:sz w:val="18"/>
                <w:szCs w:val="18"/>
                <w:shd w:val="clear" w:color="auto" w:fill="auto"/>
              </w:rPr>
            </w:pPr>
          </w:p>
        </w:tc>
        <w:tc>
          <w:tcPr>
            <w:tcW w:w="823" w:type="pct"/>
            <w:vAlign w:val="center"/>
          </w:tcPr>
          <w:p>
            <w:pPr>
              <w:pStyle w:val="20"/>
              <w:keepNext w:val="0"/>
              <w:keepLines w:val="0"/>
              <w:pageBreakBefore w:val="0"/>
              <w:numPr>
                <w:ilvl w:val="0"/>
                <w:numId w:val="0"/>
              </w:numPr>
              <w:tabs>
                <w:tab w:val="left" w:pos="850"/>
              </w:tabs>
              <w:kinsoku/>
              <w:wordWrap/>
              <w:overflowPunct/>
              <w:topLinePunct w:val="0"/>
              <w:bidi w:val="0"/>
              <w:spacing w:beforeLines="0" w:afterLines="0" w:line="240" w:lineRule="auto"/>
              <w:ind w:left="0" w:leftChars="0" w:firstLine="0" w:firstLineChars="0"/>
              <w:jc w:val="center"/>
              <w:textAlignment w:val="auto"/>
              <w:rPr>
                <w:rFonts w:hint="eastAsia" w:ascii="宋体" w:hAnsi="宋体" w:eastAsia="宋体" w:cs="宋体"/>
                <w:spacing w:val="0"/>
                <w:sz w:val="18"/>
                <w:szCs w:val="18"/>
                <w:shd w:val="clear" w:color="auto" w:fill="auto"/>
                <w:lang w:val="en-US" w:eastAsia="zh-CN" w:bidi="ar-SA"/>
              </w:rPr>
            </w:pPr>
            <w:r>
              <w:rPr>
                <w:rFonts w:hint="eastAsia" w:ascii="宋体" w:hAnsi="宋体" w:eastAsia="宋体" w:cs="宋体"/>
                <w:spacing w:val="0"/>
                <w:sz w:val="18"/>
                <w:szCs w:val="18"/>
                <w:shd w:val="clear" w:color="auto" w:fill="auto"/>
              </w:rPr>
              <w:t>0.25＜</w:t>
            </w:r>
            <w:r>
              <w:rPr>
                <w:rFonts w:hint="eastAsia" w:ascii="宋体" w:hAnsi="宋体" w:eastAsia="宋体" w:cs="宋体"/>
                <w:i/>
                <w:iCs/>
                <w:spacing w:val="0"/>
                <w:sz w:val="18"/>
                <w:szCs w:val="18"/>
                <w:shd w:val="clear" w:color="auto" w:fill="auto"/>
              </w:rPr>
              <w:t>P</w:t>
            </w:r>
            <w:r>
              <w:rPr>
                <w:rFonts w:hint="eastAsia" w:ascii="宋体" w:hAnsi="宋体" w:eastAsia="宋体" w:cs="宋体"/>
                <w:spacing w:val="0"/>
                <w:sz w:val="18"/>
                <w:szCs w:val="18"/>
                <w:shd w:val="clear" w:color="auto" w:fill="auto"/>
              </w:rPr>
              <w:t>≤0.5</w:t>
            </w:r>
          </w:p>
        </w:tc>
        <w:tc>
          <w:tcPr>
            <w:tcW w:w="441" w:type="pct"/>
            <w:vAlign w:val="center"/>
          </w:tcPr>
          <w:p>
            <w:pPr>
              <w:pStyle w:val="20"/>
              <w:keepNext w:val="0"/>
              <w:keepLines w:val="0"/>
              <w:pageBreakBefore w:val="0"/>
              <w:numPr>
                <w:ilvl w:val="0"/>
                <w:numId w:val="0"/>
              </w:numPr>
              <w:tabs>
                <w:tab w:val="left" w:pos="850"/>
              </w:tabs>
              <w:kinsoku/>
              <w:wordWrap/>
              <w:overflowPunct/>
              <w:topLinePunct w:val="0"/>
              <w:bidi w:val="0"/>
              <w:spacing w:beforeLines="0" w:afterLines="0" w:line="240" w:lineRule="auto"/>
              <w:ind w:left="0" w:leftChars="0" w:firstLine="0" w:firstLineChars="0"/>
              <w:jc w:val="center"/>
              <w:textAlignment w:val="auto"/>
              <w:rPr>
                <w:rFonts w:hint="eastAsia" w:ascii="宋体" w:hAnsi="宋体" w:eastAsia="宋体" w:cs="宋体"/>
                <w:spacing w:val="0"/>
                <w:sz w:val="18"/>
                <w:szCs w:val="18"/>
                <w:shd w:val="clear" w:color="auto" w:fill="auto"/>
                <w:lang w:val="en-US" w:eastAsia="zh-CN" w:bidi="ar-SA"/>
              </w:rPr>
            </w:pPr>
            <w:r>
              <w:rPr>
                <w:rFonts w:hint="eastAsia" w:ascii="宋体" w:hAnsi="宋体" w:eastAsia="宋体" w:cs="宋体"/>
                <w:spacing w:val="0"/>
                <w:sz w:val="18"/>
                <w:szCs w:val="18"/>
                <w:shd w:val="clear" w:color="auto" w:fill="auto"/>
              </w:rPr>
              <w:t>≤50</w:t>
            </w:r>
          </w:p>
        </w:tc>
        <w:tc>
          <w:tcPr>
            <w:tcW w:w="462" w:type="pct"/>
            <w:vAlign w:val="center"/>
          </w:tcPr>
          <w:p>
            <w:pPr>
              <w:pStyle w:val="20"/>
              <w:keepNext w:val="0"/>
              <w:keepLines w:val="0"/>
              <w:pageBreakBefore w:val="0"/>
              <w:numPr>
                <w:ilvl w:val="1"/>
                <w:numId w:val="0"/>
              </w:numPr>
              <w:tabs>
                <w:tab w:val="left" w:pos="850"/>
              </w:tabs>
              <w:kinsoku/>
              <w:wordWrap/>
              <w:overflowPunct/>
              <w:topLinePunct w:val="0"/>
              <w:bidi w:val="0"/>
              <w:spacing w:beforeLines="0" w:afterLines="0" w:line="240" w:lineRule="auto"/>
              <w:ind w:left="0" w:leftChars="0" w:firstLine="0" w:firstLineChars="0"/>
              <w:jc w:val="center"/>
              <w:textAlignment w:val="auto"/>
              <w:rPr>
                <w:rFonts w:hint="eastAsia" w:ascii="宋体" w:hAnsi="宋体" w:eastAsia="宋体" w:cs="宋体"/>
                <w:spacing w:val="0"/>
                <w:sz w:val="18"/>
                <w:szCs w:val="18"/>
                <w:shd w:val="clear" w:color="auto" w:fill="auto"/>
                <w:lang w:val="en-US" w:eastAsia="zh-CN" w:bidi="ar-SA"/>
              </w:rPr>
            </w:pPr>
            <w:r>
              <w:rPr>
                <w:rFonts w:hint="eastAsia" w:ascii="宋体" w:hAnsi="宋体" w:eastAsia="宋体" w:cs="宋体"/>
                <w:spacing w:val="0"/>
                <w:sz w:val="18"/>
                <w:szCs w:val="18"/>
                <w:shd w:val="clear" w:color="auto" w:fill="auto"/>
              </w:rPr>
              <w:t>≤52</w:t>
            </w:r>
          </w:p>
        </w:tc>
        <w:tc>
          <w:tcPr>
            <w:tcW w:w="544" w:type="pct"/>
            <w:vAlign w:val="center"/>
          </w:tcPr>
          <w:p>
            <w:pPr>
              <w:pStyle w:val="20"/>
              <w:keepNext w:val="0"/>
              <w:keepLines w:val="0"/>
              <w:pageBreakBefore w:val="0"/>
              <w:numPr>
                <w:ilvl w:val="0"/>
                <w:numId w:val="0"/>
              </w:numPr>
              <w:tabs>
                <w:tab w:val="left" w:pos="850"/>
              </w:tabs>
              <w:kinsoku/>
              <w:wordWrap/>
              <w:overflowPunct/>
              <w:topLinePunct w:val="0"/>
              <w:bidi w:val="0"/>
              <w:spacing w:beforeLines="0" w:afterLines="0" w:line="240" w:lineRule="auto"/>
              <w:ind w:left="0" w:leftChars="0" w:firstLine="0" w:firstLineChars="0"/>
              <w:jc w:val="center"/>
              <w:textAlignment w:val="auto"/>
              <w:rPr>
                <w:rFonts w:hint="eastAsia" w:ascii="宋体" w:hAnsi="宋体" w:eastAsia="宋体" w:cs="宋体"/>
                <w:spacing w:val="0"/>
                <w:sz w:val="18"/>
                <w:szCs w:val="18"/>
                <w:shd w:val="clear" w:color="auto" w:fill="auto"/>
                <w:lang w:val="en-US" w:eastAsia="zh-CN" w:bidi="ar-SA"/>
              </w:rPr>
            </w:pPr>
            <w:r>
              <w:rPr>
                <w:rFonts w:hint="eastAsia" w:ascii="宋体" w:hAnsi="宋体" w:eastAsia="宋体" w:cs="宋体"/>
                <w:spacing w:val="0"/>
                <w:sz w:val="18"/>
                <w:szCs w:val="18"/>
                <w:shd w:val="clear" w:color="auto" w:fill="auto"/>
              </w:rPr>
              <w:t>0.</w:t>
            </w:r>
            <w:r>
              <w:rPr>
                <w:rFonts w:hint="eastAsia" w:hAnsi="宋体" w:cs="宋体"/>
                <w:spacing w:val="0"/>
                <w:sz w:val="18"/>
                <w:szCs w:val="18"/>
                <w:shd w:val="clear" w:color="auto" w:fill="auto"/>
                <w:lang w:val="en-US" w:eastAsia="zh-CN"/>
              </w:rPr>
              <w:t>7</w:t>
            </w:r>
            <w:r>
              <w:rPr>
                <w:rFonts w:hint="eastAsia" w:ascii="宋体" w:hAnsi="宋体" w:eastAsia="宋体" w:cs="宋体"/>
                <w:spacing w:val="0"/>
                <w:sz w:val="18"/>
                <w:szCs w:val="18"/>
                <w:shd w:val="clear" w:color="auto" w:fill="auto"/>
              </w:rPr>
              <w:t>5＜</w:t>
            </w:r>
            <w:r>
              <w:rPr>
                <w:rFonts w:hint="eastAsia" w:ascii="宋体" w:hAnsi="宋体" w:eastAsia="宋体" w:cs="宋体"/>
                <w:i/>
                <w:iCs/>
                <w:spacing w:val="0"/>
                <w:sz w:val="18"/>
                <w:szCs w:val="18"/>
                <w:shd w:val="clear" w:color="auto" w:fill="auto"/>
              </w:rPr>
              <w:t>P</w:t>
            </w:r>
            <w:r>
              <w:rPr>
                <w:rFonts w:hint="eastAsia" w:ascii="宋体" w:hAnsi="宋体" w:eastAsia="宋体" w:cs="宋体"/>
                <w:spacing w:val="0"/>
                <w:sz w:val="18"/>
                <w:szCs w:val="18"/>
                <w:shd w:val="clear" w:color="auto" w:fill="auto"/>
              </w:rPr>
              <w:t>≤</w:t>
            </w:r>
            <w:r>
              <w:rPr>
                <w:rFonts w:hint="eastAsia" w:hAnsi="宋体" w:cs="宋体"/>
                <w:spacing w:val="0"/>
                <w:sz w:val="18"/>
                <w:szCs w:val="18"/>
                <w:shd w:val="clear" w:color="auto" w:fill="auto"/>
                <w:lang w:val="en-US" w:eastAsia="zh-CN"/>
              </w:rPr>
              <w:t>1</w:t>
            </w:r>
            <w:r>
              <w:rPr>
                <w:rFonts w:hint="eastAsia" w:ascii="宋体" w:hAnsi="宋体" w:eastAsia="宋体" w:cs="宋体"/>
                <w:spacing w:val="0"/>
                <w:sz w:val="18"/>
                <w:szCs w:val="18"/>
                <w:shd w:val="clear" w:color="auto" w:fill="auto"/>
              </w:rPr>
              <w:t>.5</w:t>
            </w:r>
          </w:p>
        </w:tc>
        <w:tc>
          <w:tcPr>
            <w:tcW w:w="544" w:type="pct"/>
            <w:gridSpan w:val="2"/>
            <w:vAlign w:val="center"/>
          </w:tcPr>
          <w:p>
            <w:pPr>
              <w:pStyle w:val="20"/>
              <w:keepNext w:val="0"/>
              <w:keepLines w:val="0"/>
              <w:pageBreakBefore w:val="0"/>
              <w:numPr>
                <w:ilvl w:val="0"/>
                <w:numId w:val="0"/>
              </w:numPr>
              <w:tabs>
                <w:tab w:val="left" w:pos="850"/>
              </w:tabs>
              <w:kinsoku/>
              <w:wordWrap/>
              <w:overflowPunct/>
              <w:topLinePunct w:val="0"/>
              <w:bidi w:val="0"/>
              <w:spacing w:beforeLines="0" w:afterLines="0" w:line="240" w:lineRule="auto"/>
              <w:ind w:left="0" w:leftChars="0" w:firstLine="0" w:firstLineChars="0"/>
              <w:jc w:val="center"/>
              <w:textAlignment w:val="auto"/>
              <w:rPr>
                <w:rFonts w:hint="eastAsia" w:ascii="宋体" w:hAnsi="宋体" w:eastAsia="宋体" w:cs="宋体"/>
                <w:spacing w:val="0"/>
                <w:sz w:val="18"/>
                <w:szCs w:val="18"/>
                <w:shd w:val="clear" w:color="auto" w:fill="auto"/>
                <w:lang w:val="en-US" w:eastAsia="zh-CN" w:bidi="ar-SA"/>
              </w:rPr>
            </w:pPr>
            <w:r>
              <w:rPr>
                <w:rFonts w:hint="eastAsia" w:ascii="宋体" w:hAnsi="宋体" w:eastAsia="宋体" w:cs="宋体"/>
                <w:spacing w:val="0"/>
                <w:sz w:val="18"/>
                <w:szCs w:val="18"/>
                <w:shd w:val="clear" w:color="auto" w:fill="auto"/>
              </w:rPr>
              <w:t>≤</w:t>
            </w:r>
            <w:r>
              <w:rPr>
                <w:rFonts w:hint="eastAsia" w:hAnsi="宋体" w:cs="宋体"/>
                <w:spacing w:val="0"/>
                <w:sz w:val="18"/>
                <w:szCs w:val="18"/>
                <w:shd w:val="clear" w:color="auto" w:fill="auto"/>
                <w:lang w:val="en-US" w:eastAsia="zh-CN"/>
              </w:rPr>
              <w:t>6</w:t>
            </w:r>
            <w:r>
              <w:rPr>
                <w:rFonts w:hint="eastAsia" w:ascii="宋体" w:hAnsi="宋体" w:eastAsia="宋体" w:cs="宋体"/>
                <w:spacing w:val="0"/>
                <w:sz w:val="18"/>
                <w:szCs w:val="18"/>
                <w:shd w:val="clear" w:color="auto" w:fill="auto"/>
              </w:rPr>
              <w:t>0</w:t>
            </w:r>
          </w:p>
        </w:tc>
        <w:tc>
          <w:tcPr>
            <w:tcW w:w="545" w:type="pct"/>
            <w:vAlign w:val="center"/>
          </w:tcPr>
          <w:p>
            <w:pPr>
              <w:pStyle w:val="20"/>
              <w:keepNext w:val="0"/>
              <w:keepLines w:val="0"/>
              <w:pageBreakBefore w:val="0"/>
              <w:numPr>
                <w:ilvl w:val="1"/>
                <w:numId w:val="0"/>
              </w:numPr>
              <w:tabs>
                <w:tab w:val="left" w:pos="850"/>
              </w:tabs>
              <w:kinsoku/>
              <w:wordWrap/>
              <w:overflowPunct/>
              <w:topLinePunct w:val="0"/>
              <w:bidi w:val="0"/>
              <w:spacing w:beforeLines="0" w:afterLines="0" w:line="240" w:lineRule="auto"/>
              <w:ind w:left="0" w:leftChars="0" w:firstLine="0" w:firstLineChars="0"/>
              <w:jc w:val="center"/>
              <w:textAlignment w:val="auto"/>
              <w:rPr>
                <w:rFonts w:hint="eastAsia" w:ascii="宋体" w:hAnsi="宋体" w:eastAsia="宋体" w:cs="宋体"/>
                <w:spacing w:val="0"/>
                <w:sz w:val="18"/>
                <w:szCs w:val="18"/>
                <w:shd w:val="clear" w:color="auto" w:fill="auto"/>
                <w:lang w:val="en-US" w:eastAsia="zh-CN" w:bidi="ar-SA"/>
              </w:rPr>
            </w:pPr>
            <w:r>
              <w:rPr>
                <w:rFonts w:hint="eastAsia" w:ascii="宋体" w:hAnsi="宋体" w:eastAsia="宋体" w:cs="宋体"/>
                <w:spacing w:val="0"/>
                <w:sz w:val="18"/>
                <w:szCs w:val="18"/>
                <w:shd w:val="clear" w:color="auto" w:fill="auto"/>
              </w:rPr>
              <w:t>≤</w:t>
            </w:r>
            <w:r>
              <w:rPr>
                <w:rFonts w:hint="eastAsia" w:hAnsi="宋体" w:cs="宋体"/>
                <w:spacing w:val="0"/>
                <w:sz w:val="18"/>
                <w:szCs w:val="18"/>
                <w:shd w:val="clear" w:color="auto" w:fill="auto"/>
                <w:lang w:val="en-US" w:eastAsia="zh-CN"/>
              </w:rPr>
              <w:t>6</w:t>
            </w:r>
            <w:r>
              <w:rPr>
                <w:rFonts w:hint="eastAsia" w:ascii="宋体" w:hAnsi="宋体" w:eastAsia="宋体" w:cs="宋体"/>
                <w:spacing w:val="0"/>
                <w:sz w:val="18"/>
                <w:szCs w:val="18"/>
                <w:shd w:val="clear" w:color="auto" w:fill="auto"/>
              </w:rPr>
              <w:t>2</w:t>
            </w:r>
          </w:p>
        </w:tc>
        <w:tc>
          <w:tcPr>
            <w:tcW w:w="706" w:type="pct"/>
            <w:vMerge w:val="continue"/>
            <w:shd w:val="clear" w:color="auto" w:fill="auto"/>
            <w:vAlign w:val="center"/>
          </w:tcPr>
          <w:p>
            <w:pPr>
              <w:keepNext w:val="0"/>
              <w:keepLines w:val="0"/>
              <w:pageBreakBefore w:val="0"/>
              <w:kinsoku/>
              <w:wordWrap/>
              <w:overflowPunct/>
              <w:topLinePunct w:val="0"/>
              <w:bidi w:val="0"/>
              <w:adjustRightInd w:val="0"/>
              <w:snapToGrid w:val="0"/>
              <w:jc w:val="center"/>
              <w:textAlignment w:val="auto"/>
              <w:rPr>
                <w:spacing w:val="0"/>
                <w:sz w:val="18"/>
                <w:szCs w:val="18"/>
                <w:shd w:val="clear" w:color="auto" w:fil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53" w:hRule="atLeast"/>
          <w:jc w:val="center"/>
        </w:trPr>
        <w:tc>
          <w:tcPr>
            <w:tcW w:w="313" w:type="pct"/>
            <w:vMerge w:val="continue"/>
            <w:shd w:val="clear" w:color="auto" w:fill="auto"/>
            <w:vAlign w:val="center"/>
          </w:tcPr>
          <w:p>
            <w:pPr>
              <w:keepNext w:val="0"/>
              <w:keepLines w:val="0"/>
              <w:pageBreakBefore w:val="0"/>
              <w:kinsoku/>
              <w:wordWrap/>
              <w:overflowPunct/>
              <w:topLinePunct w:val="0"/>
              <w:bidi w:val="0"/>
              <w:adjustRightInd w:val="0"/>
              <w:snapToGrid w:val="0"/>
              <w:jc w:val="center"/>
              <w:textAlignment w:val="auto"/>
              <w:rPr>
                <w:spacing w:val="0"/>
                <w:sz w:val="18"/>
                <w:szCs w:val="18"/>
                <w:shd w:val="clear" w:color="auto" w:fill="auto"/>
              </w:rPr>
            </w:pPr>
          </w:p>
        </w:tc>
        <w:tc>
          <w:tcPr>
            <w:tcW w:w="618" w:type="pct"/>
            <w:vMerge w:val="continue"/>
            <w:shd w:val="clear" w:color="auto" w:fill="auto"/>
            <w:vAlign w:val="center"/>
          </w:tcPr>
          <w:p>
            <w:pPr>
              <w:keepNext w:val="0"/>
              <w:keepLines w:val="0"/>
              <w:pageBreakBefore w:val="0"/>
              <w:kinsoku/>
              <w:wordWrap/>
              <w:overflowPunct/>
              <w:topLinePunct w:val="0"/>
              <w:bidi w:val="0"/>
              <w:adjustRightInd w:val="0"/>
              <w:snapToGrid w:val="0"/>
              <w:jc w:val="center"/>
              <w:textAlignment w:val="auto"/>
              <w:rPr>
                <w:spacing w:val="0"/>
                <w:sz w:val="18"/>
                <w:szCs w:val="18"/>
                <w:shd w:val="clear" w:color="auto" w:fill="auto"/>
              </w:rPr>
            </w:pPr>
          </w:p>
        </w:tc>
        <w:tc>
          <w:tcPr>
            <w:tcW w:w="823" w:type="pct"/>
            <w:vAlign w:val="center"/>
          </w:tcPr>
          <w:p>
            <w:pPr>
              <w:pStyle w:val="20"/>
              <w:keepNext w:val="0"/>
              <w:keepLines w:val="0"/>
              <w:pageBreakBefore w:val="0"/>
              <w:numPr>
                <w:ilvl w:val="0"/>
                <w:numId w:val="0"/>
              </w:numPr>
              <w:tabs>
                <w:tab w:val="left" w:pos="850"/>
              </w:tabs>
              <w:kinsoku/>
              <w:wordWrap/>
              <w:overflowPunct/>
              <w:topLinePunct w:val="0"/>
              <w:bidi w:val="0"/>
              <w:spacing w:beforeLines="0" w:afterLines="0" w:line="240" w:lineRule="auto"/>
              <w:ind w:left="0" w:leftChars="0" w:firstLine="0" w:firstLineChars="0"/>
              <w:jc w:val="center"/>
              <w:textAlignment w:val="auto"/>
              <w:rPr>
                <w:rFonts w:hint="eastAsia" w:ascii="宋体" w:hAnsi="宋体" w:eastAsia="宋体" w:cs="宋体"/>
                <w:spacing w:val="0"/>
                <w:sz w:val="18"/>
                <w:szCs w:val="18"/>
                <w:shd w:val="clear" w:color="auto" w:fill="auto"/>
                <w:lang w:val="en-US" w:eastAsia="zh-CN" w:bidi="ar-SA"/>
              </w:rPr>
            </w:pPr>
            <w:r>
              <w:rPr>
                <w:rFonts w:hint="eastAsia" w:ascii="宋体" w:hAnsi="宋体" w:eastAsia="宋体" w:cs="宋体"/>
                <w:spacing w:val="0"/>
                <w:sz w:val="18"/>
                <w:szCs w:val="18"/>
                <w:shd w:val="clear" w:color="auto" w:fill="auto"/>
              </w:rPr>
              <w:t>0.5＜</w:t>
            </w:r>
            <w:r>
              <w:rPr>
                <w:rFonts w:hint="eastAsia" w:ascii="宋体" w:hAnsi="宋体" w:eastAsia="宋体" w:cs="宋体"/>
                <w:i/>
                <w:iCs/>
                <w:spacing w:val="0"/>
                <w:sz w:val="18"/>
                <w:szCs w:val="18"/>
                <w:shd w:val="clear" w:color="auto" w:fill="auto"/>
              </w:rPr>
              <w:t>P</w:t>
            </w:r>
            <w:r>
              <w:rPr>
                <w:rFonts w:hint="eastAsia" w:ascii="宋体" w:hAnsi="宋体" w:eastAsia="宋体" w:cs="宋体"/>
                <w:spacing w:val="0"/>
                <w:sz w:val="18"/>
                <w:szCs w:val="18"/>
                <w:shd w:val="clear" w:color="auto" w:fill="auto"/>
              </w:rPr>
              <w:t>≤0.75</w:t>
            </w:r>
          </w:p>
        </w:tc>
        <w:tc>
          <w:tcPr>
            <w:tcW w:w="441" w:type="pct"/>
            <w:vAlign w:val="center"/>
          </w:tcPr>
          <w:p>
            <w:pPr>
              <w:pStyle w:val="20"/>
              <w:keepNext w:val="0"/>
              <w:keepLines w:val="0"/>
              <w:pageBreakBefore w:val="0"/>
              <w:numPr>
                <w:ilvl w:val="0"/>
                <w:numId w:val="0"/>
              </w:numPr>
              <w:tabs>
                <w:tab w:val="left" w:pos="850"/>
              </w:tabs>
              <w:kinsoku/>
              <w:wordWrap/>
              <w:overflowPunct/>
              <w:topLinePunct w:val="0"/>
              <w:bidi w:val="0"/>
              <w:spacing w:beforeLines="0" w:afterLines="0" w:line="240" w:lineRule="auto"/>
              <w:ind w:left="0" w:leftChars="0" w:firstLine="0" w:firstLineChars="0"/>
              <w:jc w:val="center"/>
              <w:textAlignment w:val="auto"/>
              <w:rPr>
                <w:rFonts w:hint="eastAsia" w:ascii="宋体" w:hAnsi="宋体" w:eastAsia="宋体" w:cs="宋体"/>
                <w:spacing w:val="0"/>
                <w:sz w:val="18"/>
                <w:szCs w:val="18"/>
                <w:shd w:val="clear" w:color="auto" w:fill="auto"/>
                <w:lang w:val="en-US" w:eastAsia="zh-CN" w:bidi="ar-SA"/>
              </w:rPr>
            </w:pPr>
            <w:r>
              <w:rPr>
                <w:rFonts w:hint="eastAsia" w:ascii="宋体" w:hAnsi="宋体" w:eastAsia="宋体" w:cs="宋体"/>
                <w:spacing w:val="0"/>
                <w:sz w:val="18"/>
                <w:szCs w:val="18"/>
                <w:shd w:val="clear" w:color="auto" w:fill="auto"/>
              </w:rPr>
              <w:t>≤52</w:t>
            </w:r>
          </w:p>
        </w:tc>
        <w:tc>
          <w:tcPr>
            <w:tcW w:w="462" w:type="pct"/>
            <w:vAlign w:val="center"/>
          </w:tcPr>
          <w:p>
            <w:pPr>
              <w:pStyle w:val="20"/>
              <w:keepNext w:val="0"/>
              <w:keepLines w:val="0"/>
              <w:pageBreakBefore w:val="0"/>
              <w:numPr>
                <w:ilvl w:val="1"/>
                <w:numId w:val="0"/>
              </w:numPr>
              <w:tabs>
                <w:tab w:val="left" w:pos="850"/>
              </w:tabs>
              <w:kinsoku/>
              <w:wordWrap/>
              <w:overflowPunct/>
              <w:topLinePunct w:val="0"/>
              <w:bidi w:val="0"/>
              <w:spacing w:beforeLines="0" w:afterLines="0" w:line="240" w:lineRule="auto"/>
              <w:ind w:left="0" w:leftChars="0" w:firstLine="0" w:firstLineChars="0"/>
              <w:jc w:val="center"/>
              <w:textAlignment w:val="auto"/>
              <w:rPr>
                <w:rFonts w:hint="eastAsia" w:ascii="宋体" w:hAnsi="宋体" w:eastAsia="宋体" w:cs="宋体"/>
                <w:spacing w:val="0"/>
                <w:sz w:val="18"/>
                <w:szCs w:val="18"/>
                <w:shd w:val="clear" w:color="auto" w:fill="auto"/>
                <w:lang w:val="en-US" w:eastAsia="zh-CN" w:bidi="ar-SA"/>
              </w:rPr>
            </w:pPr>
            <w:r>
              <w:rPr>
                <w:rFonts w:hint="eastAsia" w:ascii="宋体" w:hAnsi="宋体" w:eastAsia="宋体" w:cs="宋体"/>
                <w:spacing w:val="0"/>
                <w:sz w:val="18"/>
                <w:szCs w:val="18"/>
                <w:shd w:val="clear" w:color="auto" w:fill="auto"/>
              </w:rPr>
              <w:t>≤54</w:t>
            </w:r>
          </w:p>
        </w:tc>
        <w:tc>
          <w:tcPr>
            <w:tcW w:w="544" w:type="pct"/>
            <w:vAlign w:val="center"/>
          </w:tcPr>
          <w:p>
            <w:pPr>
              <w:keepNext w:val="0"/>
              <w:keepLines w:val="0"/>
              <w:pageBreakBefore w:val="0"/>
              <w:kinsoku/>
              <w:wordWrap/>
              <w:overflowPunct/>
              <w:topLinePunct w:val="0"/>
              <w:bidi w:val="0"/>
              <w:adjustRightInd w:val="0"/>
              <w:snapToGrid w:val="0"/>
              <w:jc w:val="center"/>
              <w:textAlignment w:val="auto"/>
              <w:rPr>
                <w:spacing w:val="0"/>
                <w:sz w:val="18"/>
                <w:szCs w:val="18"/>
                <w:shd w:val="clear" w:color="auto" w:fill="auto"/>
              </w:rPr>
            </w:pPr>
          </w:p>
        </w:tc>
        <w:tc>
          <w:tcPr>
            <w:tcW w:w="544" w:type="pct"/>
            <w:gridSpan w:val="2"/>
            <w:vAlign w:val="center"/>
          </w:tcPr>
          <w:p>
            <w:pPr>
              <w:keepNext w:val="0"/>
              <w:keepLines w:val="0"/>
              <w:pageBreakBefore w:val="0"/>
              <w:kinsoku/>
              <w:wordWrap/>
              <w:overflowPunct/>
              <w:topLinePunct w:val="0"/>
              <w:bidi w:val="0"/>
              <w:adjustRightInd w:val="0"/>
              <w:snapToGrid w:val="0"/>
              <w:jc w:val="center"/>
              <w:textAlignment w:val="auto"/>
              <w:rPr>
                <w:spacing w:val="0"/>
                <w:sz w:val="18"/>
                <w:szCs w:val="18"/>
                <w:shd w:val="clear" w:color="auto" w:fill="auto"/>
              </w:rPr>
            </w:pPr>
          </w:p>
        </w:tc>
        <w:tc>
          <w:tcPr>
            <w:tcW w:w="545" w:type="pct"/>
            <w:vAlign w:val="center"/>
          </w:tcPr>
          <w:p>
            <w:pPr>
              <w:keepNext w:val="0"/>
              <w:keepLines w:val="0"/>
              <w:pageBreakBefore w:val="0"/>
              <w:kinsoku/>
              <w:wordWrap/>
              <w:overflowPunct/>
              <w:topLinePunct w:val="0"/>
              <w:bidi w:val="0"/>
              <w:adjustRightInd w:val="0"/>
              <w:snapToGrid w:val="0"/>
              <w:jc w:val="center"/>
              <w:textAlignment w:val="auto"/>
              <w:rPr>
                <w:spacing w:val="0"/>
                <w:sz w:val="18"/>
                <w:szCs w:val="18"/>
                <w:shd w:val="clear" w:color="auto" w:fill="auto"/>
              </w:rPr>
            </w:pPr>
          </w:p>
        </w:tc>
        <w:tc>
          <w:tcPr>
            <w:tcW w:w="706" w:type="pct"/>
            <w:vMerge w:val="continue"/>
            <w:shd w:val="clear" w:color="auto" w:fill="auto"/>
            <w:vAlign w:val="center"/>
          </w:tcPr>
          <w:p>
            <w:pPr>
              <w:keepNext w:val="0"/>
              <w:keepLines w:val="0"/>
              <w:pageBreakBefore w:val="0"/>
              <w:kinsoku/>
              <w:wordWrap/>
              <w:overflowPunct/>
              <w:topLinePunct w:val="0"/>
              <w:bidi w:val="0"/>
              <w:adjustRightInd w:val="0"/>
              <w:snapToGrid w:val="0"/>
              <w:jc w:val="center"/>
              <w:textAlignment w:val="auto"/>
              <w:rPr>
                <w:spacing w:val="0"/>
                <w:sz w:val="18"/>
                <w:szCs w:val="18"/>
                <w:shd w:val="clear" w:color="auto" w:fil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53" w:hRule="atLeast"/>
          <w:jc w:val="center"/>
        </w:trPr>
        <w:tc>
          <w:tcPr>
            <w:tcW w:w="313" w:type="pct"/>
            <w:vMerge w:val="continue"/>
            <w:shd w:val="clear" w:color="auto" w:fill="auto"/>
            <w:vAlign w:val="center"/>
          </w:tcPr>
          <w:p>
            <w:pPr>
              <w:keepNext w:val="0"/>
              <w:keepLines w:val="0"/>
              <w:pageBreakBefore w:val="0"/>
              <w:kinsoku/>
              <w:wordWrap/>
              <w:overflowPunct/>
              <w:topLinePunct w:val="0"/>
              <w:bidi w:val="0"/>
              <w:adjustRightInd w:val="0"/>
              <w:snapToGrid w:val="0"/>
              <w:jc w:val="center"/>
              <w:textAlignment w:val="auto"/>
              <w:rPr>
                <w:spacing w:val="0"/>
                <w:sz w:val="18"/>
                <w:szCs w:val="18"/>
                <w:shd w:val="clear" w:color="auto" w:fill="auto"/>
              </w:rPr>
            </w:pPr>
          </w:p>
        </w:tc>
        <w:tc>
          <w:tcPr>
            <w:tcW w:w="618" w:type="pct"/>
            <w:vMerge w:val="continue"/>
            <w:shd w:val="clear" w:color="auto" w:fill="auto"/>
            <w:vAlign w:val="center"/>
          </w:tcPr>
          <w:p>
            <w:pPr>
              <w:keepNext w:val="0"/>
              <w:keepLines w:val="0"/>
              <w:pageBreakBefore w:val="0"/>
              <w:kinsoku/>
              <w:wordWrap/>
              <w:overflowPunct/>
              <w:topLinePunct w:val="0"/>
              <w:bidi w:val="0"/>
              <w:adjustRightInd w:val="0"/>
              <w:snapToGrid w:val="0"/>
              <w:jc w:val="center"/>
              <w:textAlignment w:val="auto"/>
              <w:rPr>
                <w:spacing w:val="0"/>
                <w:sz w:val="18"/>
                <w:szCs w:val="18"/>
                <w:shd w:val="clear" w:color="auto" w:fill="auto"/>
              </w:rPr>
            </w:pPr>
          </w:p>
        </w:tc>
        <w:tc>
          <w:tcPr>
            <w:tcW w:w="823" w:type="pct"/>
            <w:vAlign w:val="center"/>
          </w:tcPr>
          <w:p>
            <w:pPr>
              <w:pStyle w:val="20"/>
              <w:keepNext w:val="0"/>
              <w:keepLines w:val="0"/>
              <w:pageBreakBefore w:val="0"/>
              <w:numPr>
                <w:ilvl w:val="1"/>
                <w:numId w:val="0"/>
              </w:numPr>
              <w:tabs>
                <w:tab w:val="left" w:pos="850"/>
              </w:tabs>
              <w:kinsoku/>
              <w:wordWrap/>
              <w:overflowPunct/>
              <w:topLinePunct w:val="0"/>
              <w:bidi w:val="0"/>
              <w:spacing w:beforeLines="0" w:afterLines="0" w:line="240" w:lineRule="auto"/>
              <w:ind w:left="0" w:leftChars="0" w:firstLine="0" w:firstLineChars="0"/>
              <w:jc w:val="center"/>
              <w:textAlignment w:val="auto"/>
              <w:rPr>
                <w:rFonts w:hint="eastAsia" w:ascii="宋体" w:hAnsi="宋体" w:eastAsia="宋体" w:cs="宋体"/>
                <w:spacing w:val="0"/>
                <w:sz w:val="18"/>
                <w:szCs w:val="18"/>
                <w:shd w:val="clear" w:color="auto" w:fill="auto"/>
                <w:lang w:val="en-US" w:eastAsia="zh-CN" w:bidi="ar-SA"/>
              </w:rPr>
            </w:pPr>
            <w:r>
              <w:rPr>
                <w:rFonts w:hint="eastAsia" w:ascii="宋体" w:hAnsi="宋体" w:eastAsia="宋体" w:cs="宋体"/>
                <w:spacing w:val="0"/>
                <w:sz w:val="18"/>
                <w:szCs w:val="18"/>
                <w:shd w:val="clear" w:color="auto" w:fill="auto"/>
              </w:rPr>
              <w:t>0.75＜</w:t>
            </w:r>
            <w:r>
              <w:rPr>
                <w:rFonts w:hint="eastAsia" w:ascii="宋体" w:hAnsi="宋体" w:eastAsia="宋体" w:cs="宋体"/>
                <w:i/>
                <w:iCs/>
                <w:spacing w:val="0"/>
                <w:sz w:val="18"/>
                <w:szCs w:val="18"/>
                <w:shd w:val="clear" w:color="auto" w:fill="auto"/>
              </w:rPr>
              <w:t>P</w:t>
            </w:r>
            <w:r>
              <w:rPr>
                <w:rFonts w:hint="eastAsia" w:ascii="宋体" w:hAnsi="宋体" w:eastAsia="宋体" w:cs="宋体"/>
                <w:spacing w:val="0"/>
                <w:sz w:val="18"/>
                <w:szCs w:val="18"/>
                <w:shd w:val="clear" w:color="auto" w:fill="auto"/>
              </w:rPr>
              <w:t>≤1.5</w:t>
            </w:r>
          </w:p>
        </w:tc>
        <w:tc>
          <w:tcPr>
            <w:tcW w:w="441" w:type="pct"/>
            <w:vAlign w:val="center"/>
          </w:tcPr>
          <w:p>
            <w:pPr>
              <w:pStyle w:val="20"/>
              <w:keepNext w:val="0"/>
              <w:keepLines w:val="0"/>
              <w:pageBreakBefore w:val="0"/>
              <w:numPr>
                <w:ilvl w:val="0"/>
                <w:numId w:val="0"/>
              </w:numPr>
              <w:tabs>
                <w:tab w:val="left" w:pos="850"/>
              </w:tabs>
              <w:kinsoku/>
              <w:wordWrap/>
              <w:overflowPunct/>
              <w:topLinePunct w:val="0"/>
              <w:bidi w:val="0"/>
              <w:spacing w:beforeLines="0" w:afterLines="0" w:line="240" w:lineRule="auto"/>
              <w:ind w:left="0" w:leftChars="0" w:firstLine="0" w:firstLineChars="0"/>
              <w:jc w:val="center"/>
              <w:textAlignment w:val="auto"/>
              <w:rPr>
                <w:rFonts w:hint="eastAsia" w:ascii="宋体" w:hAnsi="宋体" w:eastAsia="宋体" w:cs="宋体"/>
                <w:spacing w:val="0"/>
                <w:sz w:val="18"/>
                <w:szCs w:val="18"/>
                <w:shd w:val="clear" w:color="auto" w:fill="auto"/>
                <w:lang w:val="en-US" w:eastAsia="zh-CN" w:bidi="ar-SA"/>
              </w:rPr>
            </w:pPr>
            <w:r>
              <w:rPr>
                <w:rFonts w:hint="eastAsia" w:ascii="宋体" w:hAnsi="宋体" w:eastAsia="宋体" w:cs="宋体"/>
                <w:spacing w:val="0"/>
                <w:sz w:val="18"/>
                <w:szCs w:val="18"/>
                <w:shd w:val="clear" w:color="auto" w:fill="auto"/>
              </w:rPr>
              <w:t>≤53</w:t>
            </w:r>
          </w:p>
        </w:tc>
        <w:tc>
          <w:tcPr>
            <w:tcW w:w="462" w:type="pct"/>
            <w:vAlign w:val="center"/>
          </w:tcPr>
          <w:p>
            <w:pPr>
              <w:pStyle w:val="20"/>
              <w:keepNext w:val="0"/>
              <w:keepLines w:val="0"/>
              <w:pageBreakBefore w:val="0"/>
              <w:numPr>
                <w:ilvl w:val="1"/>
                <w:numId w:val="0"/>
              </w:numPr>
              <w:tabs>
                <w:tab w:val="left" w:pos="850"/>
              </w:tabs>
              <w:kinsoku/>
              <w:wordWrap/>
              <w:overflowPunct/>
              <w:topLinePunct w:val="0"/>
              <w:bidi w:val="0"/>
              <w:spacing w:beforeLines="0" w:afterLines="0" w:line="240" w:lineRule="auto"/>
              <w:ind w:left="0" w:leftChars="0" w:firstLine="0" w:firstLineChars="0"/>
              <w:jc w:val="center"/>
              <w:textAlignment w:val="auto"/>
              <w:rPr>
                <w:rFonts w:hint="eastAsia" w:ascii="宋体" w:hAnsi="宋体" w:eastAsia="宋体" w:cs="宋体"/>
                <w:spacing w:val="0"/>
                <w:sz w:val="18"/>
                <w:szCs w:val="18"/>
                <w:shd w:val="clear" w:color="auto" w:fill="auto"/>
                <w:lang w:val="en-US" w:eastAsia="zh-CN" w:bidi="ar-SA"/>
              </w:rPr>
            </w:pPr>
            <w:r>
              <w:rPr>
                <w:rFonts w:hint="eastAsia" w:ascii="宋体" w:hAnsi="宋体" w:eastAsia="宋体" w:cs="宋体"/>
                <w:spacing w:val="0"/>
                <w:sz w:val="18"/>
                <w:szCs w:val="18"/>
                <w:shd w:val="clear" w:color="auto" w:fill="auto"/>
              </w:rPr>
              <w:t>≤55</w:t>
            </w:r>
          </w:p>
        </w:tc>
        <w:tc>
          <w:tcPr>
            <w:tcW w:w="544" w:type="pct"/>
            <w:vAlign w:val="center"/>
          </w:tcPr>
          <w:p>
            <w:pPr>
              <w:keepNext w:val="0"/>
              <w:keepLines w:val="0"/>
              <w:pageBreakBefore w:val="0"/>
              <w:kinsoku/>
              <w:wordWrap/>
              <w:overflowPunct/>
              <w:topLinePunct w:val="0"/>
              <w:bidi w:val="0"/>
              <w:adjustRightInd w:val="0"/>
              <w:snapToGrid w:val="0"/>
              <w:jc w:val="center"/>
              <w:textAlignment w:val="auto"/>
              <w:rPr>
                <w:spacing w:val="0"/>
                <w:sz w:val="18"/>
                <w:szCs w:val="18"/>
                <w:shd w:val="clear" w:color="auto" w:fill="auto"/>
              </w:rPr>
            </w:pPr>
          </w:p>
        </w:tc>
        <w:tc>
          <w:tcPr>
            <w:tcW w:w="544" w:type="pct"/>
            <w:gridSpan w:val="2"/>
            <w:vAlign w:val="center"/>
          </w:tcPr>
          <w:p>
            <w:pPr>
              <w:keepNext w:val="0"/>
              <w:keepLines w:val="0"/>
              <w:pageBreakBefore w:val="0"/>
              <w:kinsoku/>
              <w:wordWrap/>
              <w:overflowPunct/>
              <w:topLinePunct w:val="0"/>
              <w:bidi w:val="0"/>
              <w:adjustRightInd w:val="0"/>
              <w:snapToGrid w:val="0"/>
              <w:jc w:val="center"/>
              <w:textAlignment w:val="auto"/>
              <w:rPr>
                <w:spacing w:val="0"/>
                <w:sz w:val="18"/>
                <w:szCs w:val="18"/>
                <w:shd w:val="clear" w:color="auto" w:fill="auto"/>
              </w:rPr>
            </w:pPr>
          </w:p>
        </w:tc>
        <w:tc>
          <w:tcPr>
            <w:tcW w:w="545" w:type="pct"/>
            <w:vAlign w:val="center"/>
          </w:tcPr>
          <w:p>
            <w:pPr>
              <w:keepNext w:val="0"/>
              <w:keepLines w:val="0"/>
              <w:pageBreakBefore w:val="0"/>
              <w:kinsoku/>
              <w:wordWrap/>
              <w:overflowPunct/>
              <w:topLinePunct w:val="0"/>
              <w:bidi w:val="0"/>
              <w:adjustRightInd w:val="0"/>
              <w:snapToGrid w:val="0"/>
              <w:jc w:val="center"/>
              <w:textAlignment w:val="auto"/>
              <w:rPr>
                <w:spacing w:val="0"/>
                <w:sz w:val="18"/>
                <w:szCs w:val="18"/>
                <w:shd w:val="clear" w:color="auto" w:fill="auto"/>
              </w:rPr>
            </w:pPr>
          </w:p>
        </w:tc>
        <w:tc>
          <w:tcPr>
            <w:tcW w:w="706" w:type="pct"/>
            <w:vMerge w:val="continue"/>
            <w:shd w:val="clear" w:color="auto" w:fill="auto"/>
            <w:vAlign w:val="center"/>
          </w:tcPr>
          <w:p>
            <w:pPr>
              <w:keepNext w:val="0"/>
              <w:keepLines w:val="0"/>
              <w:pageBreakBefore w:val="0"/>
              <w:kinsoku/>
              <w:wordWrap/>
              <w:overflowPunct/>
              <w:topLinePunct w:val="0"/>
              <w:bidi w:val="0"/>
              <w:adjustRightInd w:val="0"/>
              <w:snapToGrid w:val="0"/>
              <w:jc w:val="center"/>
              <w:textAlignment w:val="auto"/>
              <w:rPr>
                <w:spacing w:val="0"/>
                <w:sz w:val="18"/>
                <w:szCs w:val="18"/>
                <w:shd w:val="clear" w:color="auto" w:fil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10" w:hRule="atLeast"/>
          <w:jc w:val="center"/>
        </w:trPr>
        <w:tc>
          <w:tcPr>
            <w:tcW w:w="313" w:type="pct"/>
            <w:vMerge w:val="restart"/>
            <w:shd w:val="clear" w:color="auto" w:fill="auto"/>
            <w:vAlign w:val="center"/>
          </w:tcPr>
          <w:p>
            <w:pPr>
              <w:keepNext w:val="0"/>
              <w:keepLines w:val="0"/>
              <w:pageBreakBefore w:val="0"/>
              <w:kinsoku/>
              <w:wordWrap/>
              <w:overflowPunct/>
              <w:topLinePunct w:val="0"/>
              <w:bidi w:val="0"/>
              <w:jc w:val="center"/>
              <w:textAlignment w:val="auto"/>
              <w:rPr>
                <w:rFonts w:ascii="宋体" w:hAnsi="宋体" w:cs="宋体"/>
                <w:spacing w:val="0"/>
                <w:sz w:val="18"/>
                <w:szCs w:val="18"/>
                <w:shd w:val="clear" w:color="auto" w:fill="auto"/>
                <w:lang w:val="zh-CN" w:eastAsia="zh-CN"/>
              </w:rPr>
            </w:pPr>
            <w:r>
              <w:rPr>
                <w:rFonts w:hint="eastAsia" w:ascii="宋体" w:hAnsi="宋体" w:cs="宋体"/>
                <w:spacing w:val="0"/>
                <w:sz w:val="18"/>
                <w:szCs w:val="18"/>
                <w:shd w:val="clear" w:color="auto" w:fill="auto"/>
                <w:lang w:val="zh-CN" w:eastAsia="zh-CN"/>
              </w:rPr>
              <w:t>创新</w:t>
            </w:r>
          </w:p>
          <w:p>
            <w:pPr>
              <w:keepNext w:val="0"/>
              <w:keepLines w:val="0"/>
              <w:pageBreakBefore w:val="0"/>
              <w:kinsoku/>
              <w:wordWrap/>
              <w:overflowPunct/>
              <w:topLinePunct w:val="0"/>
              <w:bidi w:val="0"/>
              <w:jc w:val="center"/>
              <w:textAlignment w:val="auto"/>
              <w:rPr>
                <w:rFonts w:hint="eastAsia" w:ascii="宋体" w:hAnsi="宋体" w:cs="宋体"/>
                <w:spacing w:val="0"/>
                <w:sz w:val="18"/>
                <w:szCs w:val="18"/>
                <w:shd w:val="clear" w:color="auto" w:fill="auto"/>
                <w:lang w:val="zh-CN" w:eastAsia="zh-CN"/>
              </w:rPr>
            </w:pPr>
            <w:r>
              <w:rPr>
                <w:rFonts w:hint="eastAsia" w:ascii="宋体" w:hAnsi="宋体" w:cs="宋体"/>
                <w:spacing w:val="0"/>
                <w:sz w:val="18"/>
                <w:szCs w:val="18"/>
                <w:shd w:val="clear" w:color="auto" w:fill="auto"/>
                <w:lang w:val="zh-CN" w:eastAsia="zh-CN"/>
              </w:rPr>
              <w:t>指标</w:t>
            </w:r>
          </w:p>
        </w:tc>
        <w:tc>
          <w:tcPr>
            <w:tcW w:w="618" w:type="pct"/>
            <w:shd w:val="clear" w:color="auto" w:fill="auto"/>
            <w:vAlign w:val="center"/>
          </w:tcPr>
          <w:p>
            <w:pPr>
              <w:keepNext w:val="0"/>
              <w:keepLines w:val="0"/>
              <w:pageBreakBefore w:val="0"/>
              <w:kinsoku/>
              <w:wordWrap/>
              <w:overflowPunct/>
              <w:topLinePunct w:val="0"/>
              <w:bidi w:val="0"/>
              <w:jc w:val="center"/>
              <w:textAlignment w:val="auto"/>
              <w:rPr>
                <w:rFonts w:ascii="宋体" w:hAnsi="宋体"/>
                <w:spacing w:val="0"/>
                <w:sz w:val="18"/>
                <w:szCs w:val="18"/>
                <w:shd w:val="clear" w:color="auto" w:fill="auto"/>
                <w:lang w:eastAsia="zh-CN"/>
              </w:rPr>
            </w:pPr>
            <w:r>
              <w:rPr>
                <w:rFonts w:hint="eastAsia" w:ascii="宋体" w:hAnsi="宋体" w:cs="宋体"/>
                <w:spacing w:val="0"/>
                <w:sz w:val="18"/>
                <w:szCs w:val="18"/>
                <w:shd w:val="clear" w:color="auto" w:fill="auto"/>
                <w:lang w:val="zh-CN"/>
              </w:rPr>
              <w:t>电磁兼容</w:t>
            </w:r>
          </w:p>
        </w:tc>
        <w:tc>
          <w:tcPr>
            <w:tcW w:w="1727" w:type="pct"/>
            <w:gridSpan w:val="3"/>
            <w:vAlign w:val="center"/>
          </w:tcPr>
          <w:p>
            <w:pPr>
              <w:keepNext w:val="0"/>
              <w:keepLines w:val="0"/>
              <w:pageBreakBefore w:val="0"/>
              <w:widowControl/>
              <w:kinsoku/>
              <w:wordWrap/>
              <w:overflowPunct/>
              <w:topLinePunct w:val="0"/>
              <w:autoSpaceDE/>
              <w:autoSpaceDN/>
              <w:bidi w:val="0"/>
              <w:adjustRightInd/>
              <w:snapToGrid/>
              <w:jc w:val="left"/>
              <w:textAlignment w:val="auto"/>
              <w:rPr>
                <w:rFonts w:hint="eastAsia" w:ascii="宋体" w:hAnsi="宋体" w:eastAsia="宋体" w:cs="宋体"/>
                <w:spacing w:val="0"/>
                <w:sz w:val="18"/>
                <w:szCs w:val="18"/>
                <w:shd w:val="clear" w:color="auto" w:fill="auto"/>
                <w:lang w:eastAsia="zh-CN"/>
              </w:rPr>
            </w:pPr>
            <w:r>
              <w:rPr>
                <w:rFonts w:hint="eastAsia" w:ascii="宋体" w:hAnsi="宋体" w:eastAsia="宋体" w:cs="宋体"/>
                <w:sz w:val="18"/>
                <w:szCs w:val="18"/>
              </w:rPr>
              <w:t>按5.13的方法进行试验，</w:t>
            </w:r>
            <w:r>
              <w:rPr>
                <w:rFonts w:hint="eastAsia" w:ascii="宋体" w:hAnsi="宋体" w:eastAsia="宋体" w:cs="宋体"/>
                <w:kern w:val="2"/>
                <w:sz w:val="18"/>
                <w:szCs w:val="18"/>
                <w:lang w:eastAsia="zh-CN"/>
              </w:rPr>
              <w:t>商用冷柜的</w:t>
            </w:r>
            <w:r>
              <w:rPr>
                <w:rFonts w:hint="eastAsia" w:ascii="宋体" w:hAnsi="宋体" w:eastAsia="宋体" w:cs="宋体"/>
                <w:sz w:val="18"/>
                <w:szCs w:val="18"/>
              </w:rPr>
              <w:t>电磁兼容应符合GB 17625.1和GB 4343.1的要求</w:t>
            </w:r>
          </w:p>
        </w:tc>
        <w:tc>
          <w:tcPr>
            <w:tcW w:w="1634" w:type="pct"/>
            <w:gridSpan w:val="4"/>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spacing w:val="0"/>
                <w:sz w:val="18"/>
                <w:szCs w:val="18"/>
                <w:shd w:val="clear" w:color="auto" w:fill="auto"/>
                <w:lang w:val="en-US" w:eastAsia="zh-CN"/>
              </w:rPr>
            </w:pPr>
            <w:r>
              <w:rPr>
                <w:rFonts w:hint="eastAsia" w:ascii="宋体" w:hAnsi="宋体"/>
                <w:spacing w:val="0"/>
                <w:sz w:val="18"/>
                <w:szCs w:val="18"/>
                <w:shd w:val="clear" w:color="auto" w:fill="auto"/>
                <w:lang w:val="en-US" w:eastAsia="zh-CN"/>
              </w:rPr>
              <w:t>——</w:t>
            </w:r>
          </w:p>
        </w:tc>
        <w:tc>
          <w:tcPr>
            <w:tcW w:w="706" w:type="pct"/>
            <w:shd w:val="clear" w:color="auto" w:fill="auto"/>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spacing w:val="0"/>
                <w:sz w:val="18"/>
                <w:szCs w:val="18"/>
                <w:shd w:val="clear" w:color="auto" w:fill="auto"/>
                <w:lang w:eastAsia="zh-CN"/>
              </w:rPr>
            </w:pPr>
            <w:r>
              <w:rPr>
                <w:rFonts w:hint="eastAsia" w:ascii="宋体" w:hAnsi="宋体"/>
                <w:spacing w:val="0"/>
                <w:sz w:val="18"/>
                <w:szCs w:val="18"/>
                <w:shd w:val="clear" w:color="auto" w:fill="auto"/>
                <w:lang w:eastAsia="zh-CN"/>
              </w:rPr>
              <w:t>新增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10" w:hRule="atLeast"/>
          <w:jc w:val="center"/>
        </w:trPr>
        <w:tc>
          <w:tcPr>
            <w:tcW w:w="313"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cs="宋体"/>
                <w:spacing w:val="0"/>
                <w:sz w:val="18"/>
                <w:szCs w:val="18"/>
                <w:shd w:val="clear" w:color="auto" w:fill="auto"/>
                <w:lang w:val="zh-CN" w:eastAsia="zh-CN"/>
              </w:rPr>
            </w:pPr>
          </w:p>
        </w:tc>
        <w:tc>
          <w:tcPr>
            <w:tcW w:w="618" w:type="pc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Times New Roman"/>
                <w:spacing w:val="0"/>
                <w:sz w:val="18"/>
                <w:szCs w:val="18"/>
                <w:shd w:val="clear" w:color="auto" w:fill="auto"/>
                <w:lang w:val="zh-CN" w:eastAsia="zh-CN" w:bidi="ar-SA"/>
              </w:rPr>
            </w:pPr>
            <w:r>
              <w:rPr>
                <w:rFonts w:hint="eastAsia" w:ascii="宋体" w:hAnsi="宋体" w:eastAsia="宋体" w:cs="宋体"/>
                <w:spacing w:val="0"/>
                <w:sz w:val="18"/>
                <w:szCs w:val="18"/>
                <w:shd w:val="clear" w:color="auto" w:fill="auto"/>
                <w:lang w:val="zh-CN"/>
              </w:rPr>
              <w:t>限用物质</w:t>
            </w:r>
          </w:p>
        </w:tc>
        <w:tc>
          <w:tcPr>
            <w:tcW w:w="1727" w:type="pct"/>
            <w:gridSpan w:val="3"/>
            <w:vAlign w:val="center"/>
          </w:tcPr>
          <w:p>
            <w:pPr>
              <w:keepNext w:val="0"/>
              <w:keepLines w:val="0"/>
              <w:pageBreakBefore w:val="0"/>
              <w:widowControl/>
              <w:kinsoku/>
              <w:wordWrap/>
              <w:overflowPunct/>
              <w:topLinePunct w:val="0"/>
              <w:autoSpaceDE/>
              <w:autoSpaceDN/>
              <w:bidi w:val="0"/>
              <w:adjustRightInd/>
              <w:snapToGrid/>
              <w:jc w:val="left"/>
              <w:textAlignment w:val="auto"/>
              <w:rPr>
                <w:rFonts w:hint="eastAsia" w:ascii="宋体" w:hAnsi="宋体" w:eastAsia="宋体" w:cs="宋体"/>
                <w:spacing w:val="0"/>
                <w:sz w:val="18"/>
                <w:szCs w:val="18"/>
                <w:shd w:val="clear" w:color="auto" w:fill="auto"/>
                <w:lang w:val="en-US" w:eastAsia="zh-CN" w:bidi="ar-SA"/>
              </w:rPr>
            </w:pPr>
            <w:r>
              <w:rPr>
                <w:rFonts w:hint="eastAsia" w:ascii="宋体" w:hAnsi="宋体" w:eastAsia="宋体" w:cs="宋体"/>
                <w:sz w:val="18"/>
                <w:szCs w:val="18"/>
              </w:rPr>
              <w:t>按5.14的方法进行试验，</w:t>
            </w:r>
            <w:r>
              <w:rPr>
                <w:rFonts w:hint="eastAsia" w:ascii="宋体" w:hAnsi="宋体" w:eastAsia="宋体" w:cs="宋体"/>
                <w:kern w:val="2"/>
                <w:sz w:val="18"/>
                <w:szCs w:val="18"/>
                <w:lang w:eastAsia="zh-CN"/>
              </w:rPr>
              <w:t>商用冷柜的</w:t>
            </w:r>
            <w:r>
              <w:rPr>
                <w:rFonts w:hint="eastAsia" w:ascii="宋体" w:hAnsi="宋体" w:eastAsia="宋体" w:cs="宋体"/>
                <w:sz w:val="18"/>
                <w:szCs w:val="18"/>
              </w:rPr>
              <w:t>限用物质应符合GB/T 26572的要求</w:t>
            </w:r>
          </w:p>
        </w:tc>
        <w:tc>
          <w:tcPr>
            <w:tcW w:w="1634" w:type="pct"/>
            <w:gridSpan w:val="4"/>
            <w:vAlign w:val="center"/>
          </w:tcPr>
          <w:p>
            <w:pPr>
              <w:keepNext w:val="0"/>
              <w:keepLines w:val="0"/>
              <w:pageBreakBefore w:val="0"/>
              <w:kinsoku/>
              <w:wordWrap/>
              <w:overflowPunct/>
              <w:topLinePunct w:val="0"/>
              <w:bidi w:val="0"/>
              <w:adjustRightInd w:val="0"/>
              <w:snapToGrid w:val="0"/>
              <w:jc w:val="center"/>
              <w:textAlignment w:val="auto"/>
              <w:rPr>
                <w:rFonts w:ascii="宋体" w:hAnsi="宋体" w:eastAsia="宋体" w:cs="Times New Roman"/>
                <w:spacing w:val="0"/>
                <w:sz w:val="18"/>
                <w:szCs w:val="18"/>
                <w:shd w:val="clear" w:color="auto" w:fill="auto"/>
                <w:lang w:val="en-US" w:eastAsia="zh-CN" w:bidi="ar-SA"/>
              </w:rPr>
            </w:pPr>
            <w:r>
              <w:rPr>
                <w:rFonts w:hint="eastAsia" w:ascii="宋体" w:hAnsi="宋体"/>
                <w:spacing w:val="0"/>
                <w:sz w:val="18"/>
                <w:szCs w:val="18"/>
                <w:shd w:val="clear" w:color="auto" w:fill="auto"/>
                <w:lang w:val="en-US" w:eastAsia="zh-CN"/>
              </w:rPr>
              <w:t>——</w:t>
            </w:r>
          </w:p>
        </w:tc>
        <w:tc>
          <w:tcPr>
            <w:tcW w:w="706" w:type="pct"/>
            <w:shd w:val="clear" w:color="auto" w:fill="auto"/>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cs="Times New Roman"/>
                <w:spacing w:val="0"/>
                <w:sz w:val="18"/>
                <w:szCs w:val="18"/>
                <w:shd w:val="clear" w:color="auto" w:fill="auto"/>
                <w:lang w:val="en-US" w:eastAsia="zh-CN" w:bidi="ar-SA"/>
              </w:rPr>
            </w:pPr>
            <w:r>
              <w:rPr>
                <w:rFonts w:hint="eastAsia" w:ascii="宋体" w:hAnsi="宋体"/>
                <w:spacing w:val="0"/>
                <w:sz w:val="18"/>
                <w:szCs w:val="18"/>
                <w:shd w:val="clear" w:color="auto" w:fill="auto"/>
                <w:lang w:eastAsia="zh-CN"/>
              </w:rPr>
              <w:t>新增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10" w:hRule="atLeast"/>
          <w:jc w:val="center"/>
        </w:trPr>
        <w:tc>
          <w:tcPr>
            <w:tcW w:w="313"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cs="宋体"/>
                <w:spacing w:val="0"/>
                <w:sz w:val="18"/>
                <w:szCs w:val="18"/>
                <w:shd w:val="clear" w:color="auto" w:fill="auto"/>
                <w:lang w:val="zh-CN" w:eastAsia="zh-CN"/>
              </w:rPr>
            </w:pPr>
          </w:p>
        </w:tc>
        <w:tc>
          <w:tcPr>
            <w:tcW w:w="618" w:type="pct"/>
            <w:shd w:val="clear" w:color="auto" w:fill="auto"/>
            <w:vAlign w:val="center"/>
          </w:tcPr>
          <w:p>
            <w:pPr>
              <w:keepNext w:val="0"/>
              <w:keepLines w:val="0"/>
              <w:pageBreakBefore w:val="0"/>
              <w:kinsoku/>
              <w:wordWrap/>
              <w:overflowPunct/>
              <w:topLinePunct w:val="0"/>
              <w:bidi w:val="0"/>
              <w:jc w:val="center"/>
              <w:textAlignment w:val="auto"/>
              <w:rPr>
                <w:rFonts w:ascii="宋体" w:hAnsi="宋体"/>
                <w:spacing w:val="0"/>
                <w:sz w:val="18"/>
                <w:szCs w:val="18"/>
                <w:shd w:val="clear" w:color="auto" w:fill="auto"/>
                <w:lang w:eastAsia="zh-CN"/>
              </w:rPr>
            </w:pPr>
            <w:r>
              <w:rPr>
                <w:rFonts w:hint="eastAsia" w:ascii="宋体" w:hAnsi="宋体" w:eastAsia="宋体" w:cs="宋体"/>
                <w:spacing w:val="0"/>
                <w:sz w:val="18"/>
                <w:szCs w:val="18"/>
                <w:shd w:val="clear" w:color="auto" w:fill="auto"/>
                <w:lang w:val="zh-CN"/>
              </w:rPr>
              <w:t>食品接触材料安全</w:t>
            </w:r>
          </w:p>
        </w:tc>
        <w:tc>
          <w:tcPr>
            <w:tcW w:w="1727" w:type="pct"/>
            <w:gridSpan w:val="3"/>
            <w:vAlign w:val="center"/>
          </w:tcPr>
          <w:p>
            <w:pPr>
              <w:keepNext w:val="0"/>
              <w:keepLines w:val="0"/>
              <w:pageBreakBefore w:val="0"/>
              <w:widowControl/>
              <w:kinsoku/>
              <w:wordWrap/>
              <w:overflowPunct/>
              <w:topLinePunct w:val="0"/>
              <w:autoSpaceDE/>
              <w:autoSpaceDN/>
              <w:bidi w:val="0"/>
              <w:adjustRightInd/>
              <w:snapToGrid/>
              <w:jc w:val="left"/>
              <w:textAlignment w:val="auto"/>
              <w:rPr>
                <w:rFonts w:hint="eastAsia" w:ascii="宋体" w:hAnsi="宋体" w:eastAsia="宋体" w:cs="宋体"/>
                <w:spacing w:val="0"/>
                <w:sz w:val="18"/>
                <w:szCs w:val="18"/>
                <w:shd w:val="clear" w:color="auto" w:fill="auto"/>
                <w:lang w:eastAsia="zh-CN"/>
              </w:rPr>
            </w:pPr>
            <w:r>
              <w:rPr>
                <w:rFonts w:hint="eastAsia" w:ascii="宋体" w:hAnsi="宋体" w:eastAsia="宋体" w:cs="宋体"/>
                <w:sz w:val="18"/>
                <w:szCs w:val="18"/>
              </w:rPr>
              <w:t>按5.15的方法进行试验，</w:t>
            </w:r>
            <w:r>
              <w:rPr>
                <w:rFonts w:hint="eastAsia" w:ascii="宋体" w:hAnsi="宋体" w:eastAsia="宋体" w:cs="宋体"/>
                <w:kern w:val="2"/>
                <w:sz w:val="18"/>
                <w:szCs w:val="18"/>
                <w:lang w:eastAsia="zh-CN"/>
              </w:rPr>
              <w:t>商用冷柜</w:t>
            </w:r>
            <w:r>
              <w:rPr>
                <w:rFonts w:hint="eastAsia" w:ascii="宋体" w:hAnsi="宋体" w:eastAsia="宋体" w:cs="宋体"/>
                <w:sz w:val="18"/>
                <w:szCs w:val="18"/>
              </w:rPr>
              <w:t>中与食品接触材料安全应符合GB 4806.1和表</w:t>
            </w:r>
            <w:r>
              <w:rPr>
                <w:rFonts w:hint="eastAsia" w:ascii="宋体" w:hAnsi="宋体" w:cs="宋体"/>
                <w:sz w:val="18"/>
                <w:szCs w:val="18"/>
                <w:lang w:val="en-US" w:eastAsia="zh-CN"/>
              </w:rPr>
              <w:t>3</w:t>
            </w:r>
            <w:r>
              <w:rPr>
                <w:rFonts w:hint="eastAsia" w:ascii="宋体" w:hAnsi="宋体" w:eastAsia="宋体" w:cs="宋体"/>
                <w:sz w:val="18"/>
                <w:szCs w:val="18"/>
              </w:rPr>
              <w:t>的要求</w:t>
            </w:r>
          </w:p>
        </w:tc>
        <w:tc>
          <w:tcPr>
            <w:tcW w:w="1634" w:type="pct"/>
            <w:gridSpan w:val="4"/>
            <w:vAlign w:val="center"/>
          </w:tcPr>
          <w:p>
            <w:pPr>
              <w:keepNext w:val="0"/>
              <w:keepLines w:val="0"/>
              <w:pageBreakBefore w:val="0"/>
              <w:kinsoku/>
              <w:wordWrap/>
              <w:overflowPunct/>
              <w:topLinePunct w:val="0"/>
              <w:bidi w:val="0"/>
              <w:adjustRightInd w:val="0"/>
              <w:snapToGrid w:val="0"/>
              <w:jc w:val="center"/>
              <w:textAlignment w:val="auto"/>
              <w:rPr>
                <w:rFonts w:ascii="宋体" w:hAnsi="宋体"/>
                <w:spacing w:val="0"/>
                <w:sz w:val="18"/>
                <w:szCs w:val="18"/>
                <w:shd w:val="clear" w:color="auto" w:fill="auto"/>
                <w:lang w:eastAsia="zh-CN"/>
              </w:rPr>
            </w:pPr>
            <w:r>
              <w:rPr>
                <w:rFonts w:hint="eastAsia" w:ascii="宋体" w:hAnsi="宋体"/>
                <w:spacing w:val="0"/>
                <w:sz w:val="18"/>
                <w:szCs w:val="18"/>
                <w:shd w:val="clear" w:color="auto" w:fill="auto"/>
                <w:lang w:val="en-US" w:eastAsia="zh-CN"/>
              </w:rPr>
              <w:t>——</w:t>
            </w:r>
          </w:p>
        </w:tc>
        <w:tc>
          <w:tcPr>
            <w:tcW w:w="706" w:type="pct"/>
            <w:shd w:val="clear" w:color="auto" w:fill="auto"/>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spacing w:val="0"/>
                <w:sz w:val="18"/>
                <w:szCs w:val="18"/>
                <w:shd w:val="clear" w:color="auto" w:fill="auto"/>
                <w:lang w:eastAsia="zh-CN"/>
              </w:rPr>
            </w:pPr>
            <w:r>
              <w:rPr>
                <w:rFonts w:hint="eastAsia" w:ascii="宋体" w:hAnsi="宋体"/>
                <w:spacing w:val="0"/>
                <w:sz w:val="18"/>
                <w:szCs w:val="18"/>
                <w:shd w:val="clear" w:color="auto" w:fill="auto"/>
                <w:lang w:eastAsia="zh-CN"/>
              </w:rPr>
              <w:t>新增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16" w:hRule="atLeast"/>
          <w:jc w:val="center"/>
        </w:trPr>
        <w:tc>
          <w:tcPr>
            <w:tcW w:w="313"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cs="宋体"/>
                <w:spacing w:val="0"/>
                <w:sz w:val="18"/>
                <w:szCs w:val="18"/>
                <w:shd w:val="clear" w:color="auto" w:fill="auto"/>
                <w:lang w:val="zh-CN" w:eastAsia="zh-CN"/>
              </w:rPr>
            </w:pPr>
          </w:p>
        </w:tc>
        <w:tc>
          <w:tcPr>
            <w:tcW w:w="618" w:type="pc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spacing w:val="0"/>
                <w:sz w:val="18"/>
                <w:szCs w:val="18"/>
                <w:shd w:val="clear" w:color="auto" w:fill="auto"/>
                <w:lang w:val="zh-CN"/>
              </w:rPr>
            </w:pPr>
            <w:r>
              <w:rPr>
                <w:rFonts w:hint="eastAsia" w:ascii="宋体" w:hAnsi="宋体" w:eastAsia="宋体" w:cs="宋体"/>
                <w:spacing w:val="0"/>
                <w:sz w:val="18"/>
                <w:szCs w:val="18"/>
                <w:shd w:val="clear" w:color="auto" w:fill="auto"/>
                <w:lang w:val="zh-CN"/>
              </w:rPr>
              <w:t>制冷剂类型</w:t>
            </w:r>
          </w:p>
        </w:tc>
        <w:tc>
          <w:tcPr>
            <w:tcW w:w="1727" w:type="pct"/>
            <w:gridSpan w:val="3"/>
            <w:vAlign w:val="center"/>
          </w:tcPr>
          <w:p>
            <w:pPr>
              <w:keepNext w:val="0"/>
              <w:keepLines w:val="0"/>
              <w:pageBreakBefore w:val="0"/>
              <w:widowControl/>
              <w:kinsoku/>
              <w:wordWrap/>
              <w:overflowPunct/>
              <w:topLinePunct w:val="0"/>
              <w:autoSpaceDE/>
              <w:autoSpaceDN/>
              <w:bidi w:val="0"/>
              <w:adjustRightInd/>
              <w:snapToGrid/>
              <w:jc w:val="left"/>
              <w:textAlignment w:val="auto"/>
              <w:rPr>
                <w:rFonts w:hint="eastAsia" w:ascii="宋体" w:hAnsi="宋体" w:eastAsia="宋体" w:cs="宋体"/>
                <w:spacing w:val="0"/>
                <w:sz w:val="18"/>
                <w:szCs w:val="18"/>
                <w:shd w:val="clear" w:color="auto" w:fill="auto"/>
                <w:lang w:val="en-US" w:eastAsia="zh-CN"/>
              </w:rPr>
            </w:pPr>
            <w:r>
              <w:rPr>
                <w:rFonts w:hint="eastAsia" w:ascii="宋体" w:hAnsi="宋体" w:eastAsia="宋体" w:cs="宋体"/>
                <w:kern w:val="2"/>
                <w:sz w:val="18"/>
                <w:szCs w:val="18"/>
                <w:lang w:eastAsia="zh-CN"/>
              </w:rPr>
              <w:t>商用冷柜</w:t>
            </w:r>
            <w:r>
              <w:rPr>
                <w:rFonts w:hint="eastAsia" w:ascii="宋体" w:hAnsi="宋体" w:eastAsia="宋体" w:cs="宋体"/>
                <w:sz w:val="18"/>
                <w:szCs w:val="18"/>
              </w:rPr>
              <w:t>应采用ODP值为0且GWP值不大于100的制冷剂，且充注量</w:t>
            </w:r>
            <w:r>
              <w:rPr>
                <w:rFonts w:hint="eastAsia" w:ascii="宋体" w:hAnsi="宋体" w:eastAsia="宋体" w:cs="宋体"/>
                <w:sz w:val="18"/>
                <w:szCs w:val="18"/>
                <w:lang w:eastAsia="zh-CN"/>
              </w:rPr>
              <w:t>应</w:t>
            </w:r>
            <w:r>
              <w:rPr>
                <w:rFonts w:hint="eastAsia" w:ascii="宋体" w:hAnsi="宋体" w:eastAsia="宋体" w:cs="宋体"/>
                <w:sz w:val="18"/>
                <w:szCs w:val="18"/>
              </w:rPr>
              <w:t>符合GB 4706.102</w:t>
            </w:r>
            <w:r>
              <w:rPr>
                <w:rFonts w:hint="eastAsia" w:ascii="宋体" w:hAnsi="宋体" w:eastAsia="宋体" w:cs="宋体"/>
                <w:sz w:val="18"/>
                <w:szCs w:val="18"/>
                <w:lang w:eastAsia="zh-CN"/>
              </w:rPr>
              <w:t>的相关</w:t>
            </w:r>
            <w:r>
              <w:rPr>
                <w:rFonts w:hint="eastAsia" w:ascii="宋体" w:hAnsi="宋体" w:eastAsia="宋体" w:cs="宋体"/>
                <w:sz w:val="18"/>
                <w:szCs w:val="18"/>
                <w:lang w:val="en-US" w:eastAsia="zh-CN"/>
              </w:rPr>
              <w:t>要求</w:t>
            </w:r>
          </w:p>
        </w:tc>
        <w:tc>
          <w:tcPr>
            <w:tcW w:w="1634" w:type="pct"/>
            <w:gridSpan w:val="4"/>
            <w:vAlign w:val="center"/>
          </w:tcPr>
          <w:p>
            <w:pPr>
              <w:keepNext w:val="0"/>
              <w:keepLines w:val="0"/>
              <w:pageBreakBefore w:val="0"/>
              <w:kinsoku/>
              <w:wordWrap/>
              <w:overflowPunct/>
              <w:topLinePunct w:val="0"/>
              <w:bidi w:val="0"/>
              <w:adjustRightInd w:val="0"/>
              <w:snapToGrid w:val="0"/>
              <w:jc w:val="center"/>
              <w:textAlignment w:val="auto"/>
              <w:rPr>
                <w:rFonts w:ascii="宋体" w:hAnsi="宋体"/>
                <w:spacing w:val="0"/>
                <w:sz w:val="18"/>
                <w:szCs w:val="18"/>
                <w:shd w:val="clear" w:color="auto" w:fill="auto"/>
                <w:lang w:eastAsia="zh-CN"/>
              </w:rPr>
            </w:pPr>
            <w:r>
              <w:rPr>
                <w:rFonts w:hint="eastAsia" w:ascii="宋体" w:hAnsi="宋体"/>
                <w:spacing w:val="0"/>
                <w:sz w:val="18"/>
                <w:szCs w:val="18"/>
                <w:shd w:val="clear" w:color="auto" w:fill="auto"/>
                <w:lang w:val="en-US" w:eastAsia="zh-CN"/>
              </w:rPr>
              <w:t>——</w:t>
            </w:r>
          </w:p>
        </w:tc>
        <w:tc>
          <w:tcPr>
            <w:tcW w:w="706" w:type="pct"/>
            <w:shd w:val="clear" w:color="auto" w:fill="auto"/>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spacing w:val="0"/>
                <w:sz w:val="18"/>
                <w:szCs w:val="18"/>
                <w:shd w:val="clear" w:color="auto" w:fill="auto"/>
                <w:lang w:eastAsia="zh-CN"/>
              </w:rPr>
            </w:pPr>
            <w:r>
              <w:rPr>
                <w:rFonts w:hint="eastAsia" w:ascii="宋体" w:hAnsi="宋体"/>
                <w:spacing w:val="0"/>
                <w:sz w:val="18"/>
                <w:szCs w:val="18"/>
                <w:shd w:val="clear" w:color="auto" w:fill="auto"/>
                <w:lang w:eastAsia="zh-CN"/>
              </w:rPr>
              <w:t>新增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10" w:hRule="atLeast"/>
          <w:jc w:val="center"/>
        </w:trPr>
        <w:tc>
          <w:tcPr>
            <w:tcW w:w="313"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cs="宋体"/>
                <w:spacing w:val="0"/>
                <w:sz w:val="18"/>
                <w:szCs w:val="18"/>
                <w:shd w:val="clear" w:color="auto" w:fill="auto"/>
                <w:lang w:val="zh-CN" w:eastAsia="zh-CN"/>
              </w:rPr>
            </w:pPr>
          </w:p>
        </w:tc>
        <w:tc>
          <w:tcPr>
            <w:tcW w:w="618" w:type="pc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spacing w:val="0"/>
                <w:sz w:val="18"/>
                <w:szCs w:val="18"/>
                <w:shd w:val="clear" w:color="auto" w:fill="auto"/>
                <w:lang w:val="zh-CN"/>
              </w:rPr>
            </w:pPr>
            <w:r>
              <w:rPr>
                <w:rFonts w:hint="eastAsia" w:ascii="宋体" w:hAnsi="宋体" w:eastAsia="宋体" w:cs="宋体"/>
                <w:spacing w:val="0"/>
                <w:sz w:val="18"/>
                <w:szCs w:val="18"/>
                <w:shd w:val="clear" w:color="auto" w:fill="auto"/>
                <w:lang w:val="zh-CN"/>
              </w:rPr>
              <w:t>抗菌</w:t>
            </w:r>
          </w:p>
        </w:tc>
        <w:tc>
          <w:tcPr>
            <w:tcW w:w="1727" w:type="pct"/>
            <w:gridSpan w:val="3"/>
            <w:vAlign w:val="center"/>
          </w:tcPr>
          <w:p>
            <w:pPr>
              <w:keepNext w:val="0"/>
              <w:keepLines w:val="0"/>
              <w:pageBreakBefore w:val="0"/>
              <w:widowControl/>
              <w:kinsoku/>
              <w:wordWrap/>
              <w:overflowPunct/>
              <w:topLinePunct w:val="0"/>
              <w:autoSpaceDE/>
              <w:autoSpaceDN/>
              <w:bidi w:val="0"/>
              <w:adjustRightInd/>
              <w:snapToGrid/>
              <w:jc w:val="left"/>
              <w:textAlignment w:val="auto"/>
              <w:rPr>
                <w:rFonts w:hint="eastAsia" w:ascii="宋体" w:hAnsi="宋体" w:eastAsia="宋体" w:cs="宋体"/>
                <w:spacing w:val="0"/>
                <w:sz w:val="18"/>
                <w:szCs w:val="18"/>
                <w:shd w:val="clear" w:color="auto" w:fill="auto"/>
                <w:lang w:eastAsia="zh-CN"/>
              </w:rPr>
            </w:pPr>
            <w:r>
              <w:rPr>
                <w:rFonts w:hint="eastAsia" w:ascii="宋体" w:hAnsi="宋体" w:eastAsia="宋体" w:cs="宋体"/>
                <w:sz w:val="18"/>
                <w:szCs w:val="18"/>
              </w:rPr>
              <w:t>按5.17的方法进行试验，具有抗菌功能的</w:t>
            </w:r>
            <w:r>
              <w:rPr>
                <w:rFonts w:hint="eastAsia" w:ascii="宋体" w:hAnsi="宋体" w:eastAsia="宋体" w:cs="宋体"/>
                <w:kern w:val="2"/>
                <w:sz w:val="18"/>
                <w:szCs w:val="18"/>
                <w:lang w:eastAsia="zh-CN"/>
              </w:rPr>
              <w:t>商用冷柜</w:t>
            </w:r>
            <w:r>
              <w:rPr>
                <w:rFonts w:hint="eastAsia" w:ascii="宋体" w:hAnsi="宋体" w:eastAsia="宋体" w:cs="宋体"/>
                <w:sz w:val="18"/>
                <w:szCs w:val="18"/>
              </w:rPr>
              <w:t>或其应用抗菌材料生产的主要部件，对金黄色葡萄球菌、大肠杆菌的抗菌率不应小于97%</w:t>
            </w:r>
          </w:p>
        </w:tc>
        <w:tc>
          <w:tcPr>
            <w:tcW w:w="1634" w:type="pct"/>
            <w:gridSpan w:val="4"/>
            <w:vAlign w:val="center"/>
          </w:tcPr>
          <w:p>
            <w:pPr>
              <w:keepNext w:val="0"/>
              <w:keepLines w:val="0"/>
              <w:pageBreakBefore w:val="0"/>
              <w:kinsoku/>
              <w:wordWrap/>
              <w:overflowPunct/>
              <w:topLinePunct w:val="0"/>
              <w:bidi w:val="0"/>
              <w:adjustRightInd w:val="0"/>
              <w:snapToGrid w:val="0"/>
              <w:jc w:val="center"/>
              <w:textAlignment w:val="auto"/>
              <w:rPr>
                <w:rFonts w:ascii="宋体" w:hAnsi="宋体"/>
                <w:spacing w:val="0"/>
                <w:sz w:val="18"/>
                <w:szCs w:val="18"/>
                <w:shd w:val="clear" w:color="auto" w:fill="auto"/>
                <w:lang w:eastAsia="zh-CN"/>
              </w:rPr>
            </w:pPr>
            <w:r>
              <w:rPr>
                <w:rFonts w:hint="eastAsia" w:ascii="宋体" w:hAnsi="宋体"/>
                <w:spacing w:val="0"/>
                <w:sz w:val="18"/>
                <w:szCs w:val="18"/>
                <w:shd w:val="clear" w:color="auto" w:fill="auto"/>
                <w:lang w:val="en-US" w:eastAsia="zh-CN"/>
              </w:rPr>
              <w:t>——</w:t>
            </w:r>
          </w:p>
        </w:tc>
        <w:tc>
          <w:tcPr>
            <w:tcW w:w="706" w:type="pct"/>
            <w:shd w:val="clear" w:color="auto" w:fill="auto"/>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spacing w:val="0"/>
                <w:sz w:val="18"/>
                <w:szCs w:val="18"/>
                <w:shd w:val="clear" w:color="auto" w:fill="auto"/>
                <w:lang w:eastAsia="zh-CN"/>
              </w:rPr>
            </w:pPr>
            <w:r>
              <w:rPr>
                <w:rFonts w:hint="eastAsia" w:ascii="宋体" w:hAnsi="宋体"/>
                <w:spacing w:val="0"/>
                <w:sz w:val="18"/>
                <w:szCs w:val="18"/>
                <w:shd w:val="clear" w:color="auto" w:fill="auto"/>
                <w:lang w:eastAsia="zh-CN"/>
              </w:rPr>
              <w:t>新增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10" w:hRule="atLeast"/>
          <w:jc w:val="center"/>
        </w:trPr>
        <w:tc>
          <w:tcPr>
            <w:tcW w:w="313"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cs="宋体"/>
                <w:spacing w:val="0"/>
                <w:sz w:val="18"/>
                <w:szCs w:val="18"/>
                <w:shd w:val="clear" w:color="auto" w:fill="auto"/>
                <w:lang w:val="zh-CN" w:eastAsia="zh-CN"/>
              </w:rPr>
            </w:pPr>
          </w:p>
        </w:tc>
        <w:tc>
          <w:tcPr>
            <w:tcW w:w="618" w:type="pc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spacing w:val="0"/>
                <w:sz w:val="18"/>
                <w:szCs w:val="18"/>
                <w:shd w:val="clear" w:color="auto" w:fill="auto"/>
                <w:lang w:eastAsia="zh-CN"/>
              </w:rPr>
            </w:pPr>
            <w:r>
              <w:rPr>
                <w:rFonts w:hint="eastAsia" w:ascii="宋体" w:hAnsi="宋体" w:eastAsia="宋体" w:cs="宋体"/>
                <w:spacing w:val="0"/>
                <w:sz w:val="18"/>
                <w:szCs w:val="18"/>
                <w:shd w:val="clear" w:color="auto" w:fill="auto"/>
                <w:lang w:val="zh-CN"/>
              </w:rPr>
              <w:t>智能化功能</w:t>
            </w:r>
          </w:p>
        </w:tc>
        <w:tc>
          <w:tcPr>
            <w:tcW w:w="1727" w:type="pct"/>
            <w:gridSpan w:val="3"/>
            <w:vAlign w:val="center"/>
          </w:tcPr>
          <w:p>
            <w:pPr>
              <w:keepNext w:val="0"/>
              <w:keepLines w:val="0"/>
              <w:pageBreakBefore w:val="0"/>
              <w:kinsoku/>
              <w:wordWrap/>
              <w:overflowPunct/>
              <w:topLinePunct w:val="0"/>
              <w:bidi w:val="0"/>
              <w:adjustRightInd/>
              <w:snapToGrid/>
              <w:ind w:firstLine="360" w:firstLineChars="200"/>
              <w:textAlignment w:val="auto"/>
              <w:rPr>
                <w:rFonts w:hint="eastAsia" w:ascii="宋体" w:hAnsi="宋体" w:eastAsia="宋体" w:cs="宋体"/>
                <w:sz w:val="18"/>
                <w:szCs w:val="18"/>
              </w:rPr>
            </w:pPr>
            <w:r>
              <w:rPr>
                <w:rFonts w:hint="eastAsia" w:ascii="宋体" w:hAnsi="宋体" w:eastAsia="宋体" w:cs="宋体"/>
                <w:sz w:val="18"/>
                <w:szCs w:val="18"/>
                <w:lang w:eastAsia="zh-CN"/>
              </w:rPr>
              <w:t>带智能功能的</w:t>
            </w:r>
            <w:r>
              <w:rPr>
                <w:rFonts w:hint="eastAsia" w:ascii="宋体" w:hAnsi="宋体" w:eastAsia="宋体" w:cs="宋体"/>
                <w:sz w:val="18"/>
                <w:szCs w:val="18"/>
              </w:rPr>
              <w:t>商用冷柜采用至少三种智能化功能，包括智能定位功能、柜内温度远程监控功能和温控器远程操控功能，具体如下：</w:t>
            </w:r>
          </w:p>
          <w:p>
            <w:pPr>
              <w:pStyle w:val="22"/>
              <w:keepNext w:val="0"/>
              <w:keepLines w:val="0"/>
              <w:pageBreakBefore w:val="0"/>
              <w:numPr>
                <w:ilvl w:val="0"/>
                <w:numId w:val="0"/>
              </w:numPr>
              <w:kinsoku/>
              <w:wordWrap/>
              <w:overflowPunct/>
              <w:topLinePunct w:val="0"/>
              <w:bidi w:val="0"/>
              <w:adjustRightInd/>
              <w:snapToGrid/>
              <w:ind w:firstLine="360" w:firstLineChars="200"/>
              <w:textAlignment w:val="auto"/>
              <w:rPr>
                <w:rFonts w:hint="eastAsia" w:ascii="宋体" w:hAnsi="宋体" w:eastAsia="宋体" w:cs="宋体"/>
                <w:sz w:val="18"/>
                <w:szCs w:val="18"/>
              </w:rPr>
            </w:pPr>
            <w:r>
              <w:rPr>
                <w:rFonts w:hint="eastAsia" w:ascii="宋体" w:hAnsi="宋体" w:eastAsia="宋体" w:cs="宋体"/>
                <w:sz w:val="18"/>
                <w:szCs w:val="18"/>
                <w:lang w:val="en-US"/>
              </w:rPr>
              <w:t>a)</w:t>
            </w:r>
            <w:r>
              <w:rPr>
                <w:rFonts w:hint="eastAsia" w:ascii="宋体" w:hAnsi="宋体" w:eastAsia="宋体" w:cs="宋体"/>
                <w:sz w:val="18"/>
                <w:szCs w:val="18"/>
              </w:rPr>
              <w:t>智能定位功能：利用WIFI，GPRS等设备或模块实现冷柜定位功能；</w:t>
            </w:r>
          </w:p>
          <w:p>
            <w:pPr>
              <w:pStyle w:val="22"/>
              <w:keepNext w:val="0"/>
              <w:keepLines w:val="0"/>
              <w:pageBreakBefore w:val="0"/>
              <w:numPr>
                <w:ilvl w:val="0"/>
                <w:numId w:val="0"/>
              </w:numPr>
              <w:tabs>
                <w:tab w:val="clear" w:pos="840"/>
              </w:tabs>
              <w:kinsoku/>
              <w:wordWrap/>
              <w:overflowPunct/>
              <w:topLinePunct w:val="0"/>
              <w:bidi w:val="0"/>
              <w:adjustRightInd/>
              <w:snapToGrid/>
              <w:ind w:firstLine="360" w:firstLineChars="200"/>
              <w:textAlignment w:val="auto"/>
              <w:rPr>
                <w:rFonts w:hint="eastAsia" w:ascii="宋体" w:hAnsi="宋体" w:eastAsia="宋体" w:cs="宋体"/>
                <w:sz w:val="18"/>
                <w:szCs w:val="18"/>
              </w:rPr>
            </w:pPr>
            <w:r>
              <w:rPr>
                <w:rFonts w:hint="eastAsia" w:ascii="宋体" w:hAnsi="宋体" w:eastAsia="宋体" w:cs="宋体"/>
                <w:sz w:val="18"/>
                <w:szCs w:val="18"/>
                <w:lang w:val="en-US"/>
              </w:rPr>
              <w:t>b)</w:t>
            </w:r>
            <w:r>
              <w:rPr>
                <w:rFonts w:hint="eastAsia" w:ascii="宋体" w:hAnsi="宋体" w:eastAsia="宋体" w:cs="宋体"/>
                <w:sz w:val="18"/>
                <w:szCs w:val="18"/>
              </w:rPr>
              <w:t>柜内温度远程监控功能：通过远程技术，能够实现将冷柜内温度采集并发送至上位机，实现远程监控箱内温度；</w:t>
            </w:r>
          </w:p>
          <w:p>
            <w:pPr>
              <w:keepNext w:val="0"/>
              <w:keepLines w:val="0"/>
              <w:pageBreakBefore w:val="0"/>
              <w:widowControl/>
              <w:kinsoku/>
              <w:wordWrap/>
              <w:overflowPunct/>
              <w:topLinePunct w:val="0"/>
              <w:autoSpaceDE/>
              <w:autoSpaceDN/>
              <w:bidi w:val="0"/>
              <w:adjustRightInd/>
              <w:snapToGrid/>
              <w:ind w:firstLine="360" w:firstLineChars="200"/>
              <w:jc w:val="left"/>
              <w:textAlignment w:val="auto"/>
              <w:rPr>
                <w:rFonts w:hint="eastAsia" w:ascii="宋体" w:hAnsi="宋体" w:eastAsia="宋体" w:cs="宋体"/>
                <w:spacing w:val="0"/>
                <w:sz w:val="18"/>
                <w:szCs w:val="18"/>
                <w:shd w:val="clear" w:color="auto" w:fill="auto"/>
                <w:lang w:eastAsia="zh-CN"/>
              </w:rPr>
            </w:pPr>
            <w:r>
              <w:rPr>
                <w:rFonts w:hint="eastAsia" w:ascii="宋体" w:hAnsi="宋体" w:eastAsia="宋体" w:cs="宋体"/>
                <w:sz w:val="18"/>
                <w:szCs w:val="18"/>
                <w:lang w:val="en-US"/>
              </w:rPr>
              <w:t>c)</w:t>
            </w:r>
            <w:r>
              <w:rPr>
                <w:rFonts w:hint="eastAsia" w:ascii="宋体" w:hAnsi="宋体" w:eastAsia="宋体" w:cs="宋体"/>
                <w:sz w:val="18"/>
                <w:szCs w:val="18"/>
              </w:rPr>
              <w:t>远程</w:t>
            </w:r>
            <w:r>
              <w:rPr>
                <w:rFonts w:hint="eastAsia" w:ascii="宋体" w:hAnsi="宋体" w:eastAsia="宋体" w:cs="宋体"/>
                <w:kern w:val="2"/>
                <w:sz w:val="18"/>
                <w:szCs w:val="18"/>
              </w:rPr>
              <w:t>操控温控器功能：通过远程控制技术，实现温控器控制功能。</w:t>
            </w:r>
          </w:p>
        </w:tc>
        <w:tc>
          <w:tcPr>
            <w:tcW w:w="1634" w:type="pct"/>
            <w:gridSpan w:val="4"/>
            <w:vAlign w:val="center"/>
          </w:tcPr>
          <w:p>
            <w:pPr>
              <w:keepNext w:val="0"/>
              <w:keepLines w:val="0"/>
              <w:pageBreakBefore w:val="0"/>
              <w:kinsoku/>
              <w:wordWrap/>
              <w:overflowPunct/>
              <w:topLinePunct w:val="0"/>
              <w:bidi w:val="0"/>
              <w:adjustRightInd w:val="0"/>
              <w:snapToGrid w:val="0"/>
              <w:jc w:val="center"/>
              <w:textAlignment w:val="auto"/>
              <w:rPr>
                <w:rFonts w:ascii="宋体" w:hAnsi="宋体"/>
                <w:spacing w:val="0"/>
                <w:sz w:val="18"/>
                <w:szCs w:val="18"/>
                <w:shd w:val="clear" w:color="auto" w:fill="auto"/>
                <w:lang w:eastAsia="zh-CN"/>
              </w:rPr>
            </w:pPr>
            <w:r>
              <w:rPr>
                <w:rFonts w:hint="eastAsia" w:ascii="宋体" w:hAnsi="宋体"/>
                <w:spacing w:val="0"/>
                <w:sz w:val="18"/>
                <w:szCs w:val="18"/>
                <w:shd w:val="clear" w:color="auto" w:fill="auto"/>
                <w:lang w:val="en-US" w:eastAsia="zh-CN"/>
              </w:rPr>
              <w:t>——</w:t>
            </w:r>
          </w:p>
        </w:tc>
        <w:tc>
          <w:tcPr>
            <w:tcW w:w="706" w:type="pct"/>
            <w:shd w:val="clear" w:color="auto" w:fill="auto"/>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spacing w:val="0"/>
                <w:sz w:val="18"/>
                <w:szCs w:val="18"/>
                <w:shd w:val="clear" w:color="auto" w:fill="auto"/>
                <w:lang w:eastAsia="zh-CN"/>
              </w:rPr>
            </w:pPr>
            <w:r>
              <w:rPr>
                <w:rFonts w:hint="eastAsia" w:ascii="宋体" w:hAnsi="宋体"/>
                <w:spacing w:val="0"/>
                <w:sz w:val="18"/>
                <w:szCs w:val="18"/>
                <w:shd w:val="clear" w:color="auto" w:fill="auto"/>
                <w:lang w:eastAsia="zh-CN"/>
              </w:rPr>
              <w:t>新增</w:t>
            </w:r>
          </w:p>
        </w:tc>
      </w:tr>
    </w:tbl>
    <w:p>
      <w:pPr>
        <w:ind w:firstLine="560" w:firstLineChars="200"/>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标准先进性说明：</w:t>
      </w:r>
    </w:p>
    <w:p>
      <w:pPr>
        <w:ind w:firstLine="560" w:firstLineChars="200"/>
        <w:rPr>
          <w:rFonts w:hint="eastAsia" w:ascii="仿宋" w:hAnsi="仿宋" w:eastAsia="仿宋" w:cs="仿宋"/>
          <w:bCs/>
          <w:sz w:val="28"/>
          <w:szCs w:val="28"/>
          <w:lang w:val="zh-CN" w:eastAsia="zh-CN"/>
        </w:rPr>
      </w:pPr>
      <w:bookmarkStart w:id="5" w:name="_Hlk161677665"/>
      <w:r>
        <w:rPr>
          <w:rFonts w:hint="eastAsia" w:ascii="仿宋" w:hAnsi="仿宋" w:eastAsia="仿宋" w:cs="仿宋"/>
          <w:bCs/>
          <w:sz w:val="28"/>
          <w:szCs w:val="28"/>
          <w:lang w:eastAsia="zh-CN"/>
        </w:rPr>
        <w:t>1）</w:t>
      </w:r>
      <w:r>
        <w:rPr>
          <w:rFonts w:hint="eastAsia" w:ascii="仿宋" w:hAnsi="仿宋" w:eastAsia="仿宋" w:cs="仿宋"/>
          <w:bCs/>
          <w:sz w:val="28"/>
          <w:szCs w:val="28"/>
          <w:lang w:val="zh-CN" w:eastAsia="zh-CN"/>
        </w:rPr>
        <w:t>电磁兼容、食品接触材料安全：反映产品的安全卫生要求。</w:t>
      </w:r>
    </w:p>
    <w:p>
      <w:pPr>
        <w:ind w:firstLine="560" w:firstLineChars="200"/>
        <w:rPr>
          <w:rFonts w:hint="default" w:ascii="仿宋" w:hAnsi="仿宋" w:eastAsia="仿宋" w:cs="仿宋"/>
          <w:bCs/>
          <w:sz w:val="28"/>
          <w:szCs w:val="28"/>
          <w:lang w:val="en-US" w:eastAsia="zh-CN"/>
        </w:rPr>
      </w:pPr>
      <w:r>
        <w:rPr>
          <w:rFonts w:hint="eastAsia" w:ascii="仿宋" w:hAnsi="仿宋" w:eastAsia="仿宋" w:cs="仿宋"/>
          <w:bCs/>
          <w:sz w:val="28"/>
          <w:szCs w:val="28"/>
          <w:lang w:eastAsia="zh-CN"/>
        </w:rPr>
        <w:t>理由说明：电磁兼容优良的商用冷柜能保证产品使用不会受到外界电磁的干扰，同时也能确保自身发出电磁不会对周围产品使用生产不利影响，是国内外对电气电器产品的要求。</w:t>
      </w:r>
      <w:r>
        <w:rPr>
          <w:rFonts w:hint="eastAsia" w:ascii="仿宋" w:hAnsi="仿宋" w:eastAsia="仿宋" w:cs="仿宋"/>
          <w:bCs/>
          <w:sz w:val="28"/>
          <w:szCs w:val="28"/>
          <w:lang w:val="zh-CN" w:eastAsia="zh-CN"/>
        </w:rPr>
        <w:t>食品接触材料安全是保障用户的食品安全。这两项技术指标即是基础性指标，其性能的稳定性也是产品先进性的体现，也是其它先进性指标具有可行性的前提</w:t>
      </w:r>
      <w:r>
        <w:rPr>
          <w:rFonts w:hint="eastAsia" w:ascii="仿宋" w:hAnsi="仿宋" w:eastAsia="仿宋" w:cs="仿宋"/>
          <w:bCs/>
          <w:sz w:val="28"/>
          <w:szCs w:val="28"/>
          <w:lang w:eastAsia="zh-CN"/>
        </w:rPr>
        <w:t>，以确保产品工作能力、质量</w:t>
      </w:r>
      <w:r>
        <w:rPr>
          <w:rFonts w:hint="eastAsia" w:ascii="仿宋" w:hAnsi="仿宋" w:eastAsia="仿宋" w:cs="仿宋"/>
          <w:bCs/>
          <w:sz w:val="28"/>
          <w:szCs w:val="28"/>
          <w:lang w:val="en-US" w:eastAsia="zh-CN"/>
        </w:rPr>
        <w:t>和可靠性的保障和提升。</w:t>
      </w:r>
    </w:p>
    <w:p>
      <w:pPr>
        <w:ind w:firstLine="560" w:firstLineChars="200"/>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2）</w:t>
      </w:r>
      <w:r>
        <w:rPr>
          <w:rFonts w:hint="eastAsia" w:ascii="仿宋" w:hAnsi="仿宋" w:eastAsia="仿宋" w:cs="仿宋"/>
          <w:bCs/>
          <w:sz w:val="28"/>
          <w:szCs w:val="28"/>
          <w:lang w:val="zh-CN" w:eastAsia="zh-CN"/>
        </w:rPr>
        <w:t>耗电量、能效指数、振动、噪声、抗菌</w:t>
      </w:r>
      <w:r>
        <w:rPr>
          <w:rFonts w:hint="eastAsia" w:ascii="仿宋" w:hAnsi="仿宋" w:eastAsia="仿宋" w:cs="仿宋"/>
          <w:bCs/>
          <w:sz w:val="28"/>
          <w:szCs w:val="28"/>
          <w:lang w:val="en-US" w:eastAsia="zh-CN"/>
        </w:rPr>
        <w:t>：</w:t>
      </w:r>
      <w:r>
        <w:rPr>
          <w:rFonts w:hint="eastAsia" w:ascii="仿宋" w:hAnsi="仿宋" w:eastAsia="仿宋" w:cs="仿宋"/>
          <w:bCs/>
          <w:sz w:val="28"/>
          <w:szCs w:val="28"/>
          <w:lang w:eastAsia="zh-CN"/>
        </w:rPr>
        <w:t>反映产品结构、材料和绝热及运行功能优良</w:t>
      </w:r>
    </w:p>
    <w:p>
      <w:pPr>
        <w:ind w:firstLine="560" w:firstLineChars="200"/>
        <w:rPr>
          <w:rFonts w:hint="default" w:ascii="仿宋" w:hAnsi="仿宋" w:eastAsia="仿宋" w:cs="仿宋"/>
          <w:bCs/>
          <w:sz w:val="28"/>
          <w:szCs w:val="28"/>
          <w:lang w:val="en-US" w:eastAsia="zh-CN"/>
        </w:rPr>
      </w:pPr>
      <w:r>
        <w:rPr>
          <w:rFonts w:hint="eastAsia" w:ascii="仿宋" w:hAnsi="仿宋" w:eastAsia="仿宋" w:cs="仿宋"/>
          <w:bCs/>
          <w:sz w:val="28"/>
          <w:szCs w:val="28"/>
          <w:lang w:val="zh-CN" w:eastAsia="zh-CN"/>
        </w:rPr>
        <w:t>耗电量、能效指数、振动、噪声、抗菌</w:t>
      </w:r>
      <w:r>
        <w:rPr>
          <w:rFonts w:hint="eastAsia" w:ascii="仿宋" w:hAnsi="仿宋" w:eastAsia="仿宋" w:cs="仿宋"/>
          <w:bCs/>
          <w:sz w:val="28"/>
          <w:szCs w:val="28"/>
          <w:lang w:val="en-US" w:eastAsia="zh-CN"/>
        </w:rPr>
        <w:t>，是用户最关心的关键指标，是企业提高市场竞争力的核心，是冷柜产品技术提升的难点和痛点，也是佛山市商用冷柜能占据国内外市场的法宝。这些性能指标的提高并优于或新增于国标、行标，将为促进佛山市商用冷柜行业的高质量发展并引领行业的发展具有决定性作用，极大促进企业的市场品牌效应，</w:t>
      </w:r>
      <w:r>
        <w:rPr>
          <w:rFonts w:hint="eastAsia" w:ascii="仿宋" w:hAnsi="仿宋" w:eastAsia="仿宋" w:cs="仿宋"/>
          <w:bCs/>
          <w:sz w:val="28"/>
          <w:szCs w:val="28"/>
          <w:lang w:eastAsia="zh-CN"/>
        </w:rPr>
        <w:t>是国家推进产品更新换代和绿色发展的新质指标。</w:t>
      </w:r>
    </w:p>
    <w:p>
      <w:pPr>
        <w:pStyle w:val="16"/>
        <w:ind w:firstLine="560"/>
        <w:rPr>
          <w:rFonts w:ascii="仿宋" w:hAnsi="仿宋" w:eastAsia="仿宋" w:cs="仿宋"/>
          <w:bCs/>
          <w:sz w:val="28"/>
          <w:szCs w:val="28"/>
        </w:rPr>
      </w:pPr>
      <w:r>
        <w:rPr>
          <w:rFonts w:hint="eastAsia" w:ascii="仿宋" w:hAnsi="仿宋" w:eastAsia="仿宋" w:cs="仿宋"/>
          <w:bCs/>
          <w:sz w:val="28"/>
          <w:szCs w:val="28"/>
          <w:lang w:val="en-US" w:eastAsia="zh-CN"/>
        </w:rPr>
        <w:t>3</w:t>
      </w:r>
      <w:r>
        <w:rPr>
          <w:rFonts w:hint="eastAsia" w:ascii="仿宋" w:hAnsi="仿宋" w:eastAsia="仿宋" w:cs="仿宋"/>
          <w:bCs/>
          <w:sz w:val="28"/>
          <w:szCs w:val="28"/>
        </w:rPr>
        <w:t>）</w:t>
      </w:r>
      <w:bookmarkStart w:id="6" w:name="_Hlk161676697"/>
      <w:r>
        <w:rPr>
          <w:rFonts w:hint="eastAsia" w:ascii="仿宋" w:hAnsi="仿宋" w:eastAsia="仿宋" w:cs="仿宋"/>
          <w:bCs/>
          <w:sz w:val="28"/>
          <w:szCs w:val="28"/>
          <w:lang w:eastAsia="zh-CN"/>
        </w:rPr>
        <w:t>智能化性能</w:t>
      </w:r>
      <w:r>
        <w:rPr>
          <w:rFonts w:hint="eastAsia" w:ascii="仿宋" w:hAnsi="仿宋" w:eastAsia="仿宋" w:cs="仿宋"/>
          <w:bCs/>
          <w:sz w:val="28"/>
          <w:szCs w:val="28"/>
        </w:rPr>
        <w:t>：反映产品</w:t>
      </w:r>
      <w:r>
        <w:rPr>
          <w:rFonts w:hint="eastAsia" w:ascii="仿宋" w:hAnsi="仿宋" w:eastAsia="仿宋" w:cs="仿宋"/>
          <w:bCs/>
          <w:sz w:val="28"/>
          <w:szCs w:val="28"/>
          <w:lang w:eastAsia="zh-CN"/>
        </w:rPr>
        <w:t>高</w:t>
      </w:r>
      <w:r>
        <w:rPr>
          <w:rFonts w:hint="eastAsia" w:ascii="仿宋" w:hAnsi="仿宋" w:eastAsia="仿宋" w:cs="仿宋"/>
          <w:bCs/>
          <w:sz w:val="28"/>
          <w:szCs w:val="28"/>
        </w:rPr>
        <w:t>质量性</w:t>
      </w:r>
      <w:r>
        <w:rPr>
          <w:rFonts w:hint="eastAsia" w:ascii="仿宋" w:hAnsi="仿宋" w:eastAsia="仿宋" w:cs="仿宋"/>
          <w:bCs/>
          <w:sz w:val="28"/>
          <w:szCs w:val="28"/>
          <w:lang w:eastAsia="zh-CN"/>
        </w:rPr>
        <w:t>和前瞻性</w:t>
      </w:r>
      <w:r>
        <w:rPr>
          <w:rFonts w:hint="eastAsia" w:ascii="仿宋" w:hAnsi="仿宋" w:eastAsia="仿宋" w:cs="仿宋"/>
          <w:bCs/>
          <w:sz w:val="28"/>
          <w:szCs w:val="28"/>
        </w:rPr>
        <w:t>。</w:t>
      </w:r>
    </w:p>
    <w:p>
      <w:pPr>
        <w:pStyle w:val="16"/>
        <w:ind w:firstLine="560"/>
        <w:rPr>
          <w:rFonts w:hint="eastAsia" w:ascii="仿宋" w:hAnsi="仿宋" w:eastAsia="仿宋" w:cs="仿宋"/>
          <w:bCs/>
          <w:sz w:val="28"/>
          <w:szCs w:val="28"/>
        </w:rPr>
      </w:pPr>
      <w:r>
        <w:rPr>
          <w:rFonts w:hint="eastAsia" w:ascii="仿宋" w:hAnsi="仿宋" w:eastAsia="仿宋" w:cs="仿宋"/>
          <w:bCs/>
          <w:sz w:val="28"/>
          <w:szCs w:val="28"/>
        </w:rPr>
        <w:t>理由说明：</w:t>
      </w:r>
      <w:bookmarkEnd w:id="6"/>
      <w:r>
        <w:rPr>
          <w:rFonts w:hint="eastAsia" w:ascii="仿宋" w:hAnsi="仿宋" w:eastAsia="仿宋" w:cs="仿宋"/>
          <w:bCs/>
          <w:sz w:val="28"/>
          <w:szCs w:val="28"/>
          <w:lang w:eastAsia="zh-CN"/>
        </w:rPr>
        <w:t>产品智能化是国家产品更新换代和高质量产品要求的重要内容，是国家在十四五规范中重要产品发展和标准化方向，是国家高质量发展和新质生产力发展的重要内容，集中反映出产品的高质量性和前瞻性，为产品的高质量发展提供了动力</w:t>
      </w:r>
      <w:r>
        <w:rPr>
          <w:rFonts w:hint="eastAsia" w:ascii="仿宋" w:hAnsi="仿宋" w:eastAsia="仿宋" w:cs="仿宋"/>
          <w:bCs/>
          <w:sz w:val="28"/>
          <w:szCs w:val="28"/>
        </w:rPr>
        <w:t>。</w:t>
      </w:r>
    </w:p>
    <w:p>
      <w:pPr>
        <w:pStyle w:val="16"/>
        <w:spacing w:line="360" w:lineRule="auto"/>
        <w:ind w:firstLine="562"/>
        <w:rPr>
          <w:rFonts w:ascii="仿宋" w:hAnsi="仿宋" w:eastAsia="仿宋" w:cs="仿宋"/>
          <w:bCs/>
          <w:sz w:val="28"/>
          <w:szCs w:val="28"/>
        </w:rPr>
      </w:pPr>
      <w:r>
        <w:rPr>
          <w:rFonts w:hint="eastAsia" w:ascii="仿宋" w:hAnsi="仿宋" w:eastAsia="仿宋" w:cs="仿宋"/>
          <w:b/>
          <w:sz w:val="28"/>
          <w:szCs w:val="28"/>
          <w:lang w:val="en-US" w:eastAsia="zh-CN"/>
        </w:rPr>
        <w:t>4</w:t>
      </w:r>
      <w:r>
        <w:rPr>
          <w:rFonts w:hint="eastAsia" w:ascii="仿宋" w:hAnsi="仿宋" w:eastAsia="仿宋" w:cs="仿宋"/>
          <w:bCs/>
          <w:sz w:val="28"/>
          <w:szCs w:val="28"/>
        </w:rPr>
        <w:t>）</w:t>
      </w:r>
      <w:r>
        <w:rPr>
          <w:rFonts w:hint="eastAsia" w:ascii="仿宋" w:hAnsi="仿宋" w:eastAsia="仿宋" w:cs="仿宋"/>
          <w:bCs/>
          <w:sz w:val="28"/>
          <w:szCs w:val="28"/>
          <w:lang w:val="zh-CN" w:eastAsia="zh-CN"/>
        </w:rPr>
        <w:t>限用物质、制冷剂类型</w:t>
      </w:r>
      <w:r>
        <w:rPr>
          <w:rFonts w:hint="eastAsia" w:ascii="仿宋" w:hAnsi="仿宋" w:eastAsia="仿宋" w:cs="仿宋"/>
          <w:bCs/>
          <w:sz w:val="28"/>
          <w:szCs w:val="28"/>
        </w:rPr>
        <w:t>：反映产品安全环保属性要求。</w:t>
      </w:r>
    </w:p>
    <w:bookmarkEnd w:id="5"/>
    <w:p>
      <w:pPr>
        <w:pStyle w:val="16"/>
        <w:ind w:firstLine="560"/>
        <w:rPr>
          <w:rFonts w:hAnsi="宋体" w:cs="宋体"/>
          <w:kern w:val="2"/>
          <w:szCs w:val="21"/>
        </w:rPr>
      </w:pPr>
      <w:r>
        <w:rPr>
          <w:rFonts w:hint="eastAsia" w:ascii="仿宋" w:hAnsi="仿宋" w:eastAsia="仿宋" w:cs="仿宋"/>
          <w:bCs/>
          <w:sz w:val="28"/>
          <w:szCs w:val="28"/>
        </w:rPr>
        <w:t>理由说明：随着消费者对环保和健康的关注度不断提高，具备低有害物质含量的产品更容易受到市场的青睐。通过满足或超越相关标准和法规的要求，产品可以获得更多消费者的信任和认可，从而增强品牌影响力和市场份额</w:t>
      </w:r>
      <w:r>
        <w:rPr>
          <w:rFonts w:hint="eastAsia" w:ascii="仿宋" w:hAnsi="仿宋" w:eastAsia="仿宋" w:cs="仿宋"/>
          <w:bCs/>
          <w:sz w:val="28"/>
          <w:szCs w:val="28"/>
          <w:lang w:eastAsia="zh-CN"/>
        </w:rPr>
        <w:t>，也是国家绿色环保发展法律法规和政策要求</w:t>
      </w:r>
      <w:r>
        <w:rPr>
          <w:rFonts w:hint="eastAsia" w:ascii="仿宋" w:hAnsi="仿宋" w:eastAsia="仿宋" w:cs="仿宋"/>
          <w:bCs/>
          <w:sz w:val="28"/>
          <w:szCs w:val="28"/>
        </w:rPr>
        <w:t>。国标</w:t>
      </w:r>
      <w:r>
        <w:rPr>
          <w:rFonts w:hint="eastAsia" w:ascii="仿宋" w:hAnsi="仿宋" w:eastAsia="仿宋" w:cs="仿宋"/>
          <w:bCs/>
          <w:sz w:val="28"/>
          <w:szCs w:val="28"/>
          <w:lang w:eastAsia="zh-CN"/>
        </w:rPr>
        <w:t>、行标</w:t>
      </w:r>
      <w:r>
        <w:rPr>
          <w:rFonts w:hint="eastAsia" w:ascii="仿宋" w:hAnsi="仿宋" w:eastAsia="仿宋" w:cs="仿宋"/>
          <w:bCs/>
          <w:sz w:val="28"/>
          <w:szCs w:val="28"/>
        </w:rPr>
        <w:t>中没有规定</w:t>
      </w:r>
      <w:r>
        <w:rPr>
          <w:rFonts w:hint="eastAsia" w:ascii="仿宋" w:hAnsi="仿宋" w:eastAsia="仿宋" w:cs="仿宋"/>
          <w:bCs/>
          <w:sz w:val="28"/>
          <w:szCs w:val="28"/>
          <w:lang w:eastAsia="zh-CN"/>
        </w:rPr>
        <w:t>此两</w:t>
      </w:r>
      <w:r>
        <w:rPr>
          <w:rFonts w:hint="eastAsia" w:ascii="仿宋" w:hAnsi="仿宋" w:eastAsia="仿宋" w:cs="仿宋"/>
          <w:bCs/>
          <w:sz w:val="28"/>
          <w:szCs w:val="28"/>
        </w:rPr>
        <w:t>项指标，考虑到用户以及消费者特别关注此项指标，</w:t>
      </w:r>
      <w:r>
        <w:rPr>
          <w:rFonts w:hint="eastAsia" w:ascii="仿宋" w:hAnsi="仿宋" w:eastAsia="仿宋" w:cs="仿宋"/>
          <w:bCs/>
          <w:sz w:val="28"/>
          <w:szCs w:val="28"/>
          <w:lang w:eastAsia="zh-CN"/>
        </w:rPr>
        <w:t>且为国家绿色产业发展的要求，</w:t>
      </w:r>
      <w:r>
        <w:rPr>
          <w:rFonts w:hint="eastAsia" w:ascii="仿宋" w:hAnsi="仿宋" w:eastAsia="仿宋" w:cs="仿宋"/>
          <w:bCs/>
          <w:sz w:val="28"/>
          <w:szCs w:val="28"/>
        </w:rPr>
        <w:t>增加了此</w:t>
      </w:r>
      <w:r>
        <w:rPr>
          <w:rFonts w:hint="eastAsia" w:ascii="仿宋" w:hAnsi="仿宋" w:eastAsia="仿宋" w:cs="仿宋"/>
          <w:bCs/>
          <w:sz w:val="28"/>
          <w:szCs w:val="28"/>
          <w:lang w:eastAsia="zh-CN"/>
        </w:rPr>
        <w:t>两</w:t>
      </w:r>
      <w:r>
        <w:rPr>
          <w:rFonts w:hint="eastAsia" w:ascii="仿宋" w:hAnsi="仿宋" w:eastAsia="仿宋" w:cs="仿宋"/>
          <w:bCs/>
          <w:sz w:val="28"/>
          <w:szCs w:val="28"/>
        </w:rPr>
        <w:t>项指标的考核，且该项指标</w:t>
      </w:r>
      <w:r>
        <w:rPr>
          <w:rFonts w:hint="eastAsia" w:ascii="仿宋" w:hAnsi="仿宋" w:eastAsia="仿宋" w:cs="仿宋"/>
          <w:bCs/>
          <w:sz w:val="28"/>
          <w:szCs w:val="28"/>
          <w:lang w:eastAsia="zh-CN"/>
        </w:rPr>
        <w:t>不低于</w:t>
      </w:r>
      <w:r>
        <w:rPr>
          <w:rFonts w:hint="eastAsia" w:ascii="仿宋" w:hAnsi="仿宋" w:eastAsia="仿宋" w:cs="仿宋"/>
          <w:bCs/>
          <w:sz w:val="28"/>
          <w:szCs w:val="28"/>
        </w:rPr>
        <w:t>欧盟ROSH指令</w:t>
      </w:r>
      <w:r>
        <w:rPr>
          <w:rFonts w:hint="eastAsia" w:ascii="仿宋" w:hAnsi="仿宋" w:eastAsia="仿宋" w:cs="仿宋"/>
          <w:bCs/>
          <w:sz w:val="28"/>
          <w:szCs w:val="28"/>
          <w:lang w:eastAsia="zh-CN"/>
        </w:rPr>
        <w:t>的要求，也是是国家推进产品更新换代和绿色环保发展的新质指标。</w:t>
      </w:r>
    </w:p>
    <w:p>
      <w:pPr>
        <w:widowControl/>
        <w:spacing w:line="720" w:lineRule="auto"/>
        <w:rPr>
          <w:rFonts w:ascii="黑体" w:hAnsi="宋体" w:eastAsia="黑体" w:cs="黑体"/>
          <w:sz w:val="28"/>
          <w:szCs w:val="28"/>
          <w:lang w:eastAsia="zh-CN"/>
        </w:rPr>
      </w:pPr>
      <w:r>
        <w:rPr>
          <w:rFonts w:hint="eastAsia" w:ascii="黑体" w:hAnsi="宋体" w:eastAsia="黑体" w:cs="黑体"/>
          <w:sz w:val="28"/>
          <w:szCs w:val="28"/>
          <w:lang w:eastAsia="zh-CN"/>
        </w:rPr>
        <w:t xml:space="preserve">4.2  </w:t>
      </w:r>
      <w:r>
        <w:rPr>
          <w:rFonts w:ascii="黑体" w:hAnsi="宋体" w:eastAsia="黑体" w:cs="黑体"/>
          <w:sz w:val="28"/>
          <w:szCs w:val="28"/>
          <w:lang w:eastAsia="zh-CN"/>
        </w:rPr>
        <w:t>试验方法</w:t>
      </w:r>
    </w:p>
    <w:p>
      <w:pPr>
        <w:widowControl/>
        <w:spacing w:line="360" w:lineRule="auto"/>
        <w:ind w:firstLine="560" w:firstLineChars="200"/>
        <w:rPr>
          <w:rFonts w:ascii="仿宋" w:hAnsi="仿宋" w:eastAsia="仿宋" w:cs="仿宋"/>
          <w:sz w:val="28"/>
          <w:szCs w:val="28"/>
          <w:lang w:eastAsia="zh-CN"/>
        </w:rPr>
      </w:pPr>
      <w:r>
        <w:rPr>
          <w:rFonts w:hint="eastAsia" w:ascii="仿宋" w:hAnsi="仿宋" w:eastAsia="仿宋" w:cs="仿宋"/>
          <w:sz w:val="28"/>
          <w:szCs w:val="28"/>
          <w:lang w:eastAsia="zh-CN"/>
        </w:rPr>
        <w:t>本标准要求指标的试验方法均有对应的国家标准和行业标准测试方法，所以本标准的试验方法均采用相应的国家标准和行业标准测试方法进行。</w:t>
      </w:r>
    </w:p>
    <w:p>
      <w:pPr>
        <w:widowControl/>
        <w:spacing w:line="720" w:lineRule="auto"/>
        <w:rPr>
          <w:rFonts w:ascii="黑体" w:hAnsi="宋体" w:eastAsia="黑体" w:cs="黑体"/>
          <w:sz w:val="28"/>
          <w:szCs w:val="28"/>
          <w:lang w:eastAsia="zh-CN"/>
        </w:rPr>
      </w:pPr>
      <w:r>
        <w:rPr>
          <w:rFonts w:hint="eastAsia" w:ascii="黑体" w:hAnsi="宋体" w:eastAsia="黑体" w:cs="黑体"/>
          <w:sz w:val="28"/>
          <w:szCs w:val="28"/>
          <w:lang w:eastAsia="zh-CN"/>
        </w:rPr>
        <w:t>4.</w:t>
      </w:r>
      <w:r>
        <w:rPr>
          <w:rFonts w:ascii="黑体" w:hAnsi="宋体" w:eastAsia="黑体" w:cs="黑体"/>
          <w:sz w:val="28"/>
          <w:szCs w:val="28"/>
          <w:lang w:eastAsia="zh-CN"/>
        </w:rPr>
        <w:t>3</w:t>
      </w:r>
      <w:r>
        <w:rPr>
          <w:rFonts w:hint="eastAsia" w:ascii="黑体" w:hAnsi="宋体" w:eastAsia="黑体" w:cs="黑体"/>
          <w:sz w:val="28"/>
          <w:szCs w:val="28"/>
          <w:lang w:eastAsia="zh-CN"/>
        </w:rPr>
        <w:t xml:space="preserve">  </w:t>
      </w:r>
      <w:r>
        <w:rPr>
          <w:rFonts w:ascii="黑体" w:hAnsi="宋体" w:eastAsia="黑体" w:cs="黑体"/>
          <w:sz w:val="28"/>
          <w:szCs w:val="28"/>
          <w:lang w:eastAsia="zh-CN"/>
        </w:rPr>
        <w:t>检验规则</w:t>
      </w:r>
    </w:p>
    <w:p>
      <w:pPr>
        <w:spacing w:line="276" w:lineRule="auto"/>
        <w:ind w:firstLine="560" w:firstLineChars="200"/>
        <w:rPr>
          <w:rFonts w:ascii="仿宋" w:hAnsi="仿宋" w:eastAsia="仿宋" w:cs="仿宋"/>
          <w:sz w:val="28"/>
          <w:szCs w:val="28"/>
          <w:lang w:eastAsia="zh-CN"/>
        </w:rPr>
      </w:pPr>
      <w:r>
        <w:rPr>
          <w:rFonts w:hint="eastAsia" w:ascii="仿宋" w:hAnsi="仿宋" w:eastAsia="仿宋" w:cs="仿宋"/>
          <w:sz w:val="28"/>
          <w:szCs w:val="28"/>
          <w:lang w:eastAsia="zh-CN"/>
        </w:rPr>
        <w:t>根据产品标准的要求，兼顾生产方、买方及第三方的需求，既要保证判定的准确性又要力求可行，将判定规则分为出厂检验和型式检验，分别明确了检验项目、不合格分类及抽样方案和判定规则的确定。</w:t>
      </w:r>
    </w:p>
    <w:p>
      <w:pPr>
        <w:widowControl/>
        <w:spacing w:line="720" w:lineRule="auto"/>
        <w:rPr>
          <w:rFonts w:ascii="黑体" w:hAnsi="宋体" w:eastAsia="黑体" w:cs="黑体"/>
          <w:sz w:val="28"/>
          <w:szCs w:val="28"/>
          <w:lang w:eastAsia="zh-CN"/>
        </w:rPr>
      </w:pPr>
      <w:r>
        <w:rPr>
          <w:rFonts w:hint="eastAsia" w:ascii="黑体" w:hAnsi="宋体" w:eastAsia="黑体" w:cs="黑体"/>
          <w:sz w:val="28"/>
          <w:szCs w:val="28"/>
          <w:lang w:eastAsia="zh-CN"/>
        </w:rPr>
        <w:t>4.</w:t>
      </w:r>
      <w:r>
        <w:rPr>
          <w:rFonts w:ascii="黑体" w:hAnsi="宋体" w:eastAsia="黑体" w:cs="黑体"/>
          <w:sz w:val="28"/>
          <w:szCs w:val="28"/>
          <w:lang w:eastAsia="zh-CN"/>
        </w:rPr>
        <w:t>4</w:t>
      </w:r>
      <w:r>
        <w:rPr>
          <w:rFonts w:hint="eastAsia" w:ascii="黑体" w:hAnsi="宋体" w:eastAsia="黑体" w:cs="黑体"/>
          <w:sz w:val="28"/>
          <w:szCs w:val="28"/>
          <w:lang w:eastAsia="zh-CN"/>
        </w:rPr>
        <w:t xml:space="preserve">  标志、</w:t>
      </w:r>
      <w:r>
        <w:rPr>
          <w:rFonts w:ascii="黑体" w:hAnsi="宋体" w:eastAsia="黑体" w:cs="黑体"/>
          <w:sz w:val="28"/>
          <w:szCs w:val="28"/>
          <w:lang w:eastAsia="zh-CN"/>
        </w:rPr>
        <w:t>包装、运输、贮存</w:t>
      </w:r>
    </w:p>
    <w:p>
      <w:pPr>
        <w:widowControl/>
        <w:spacing w:line="360" w:lineRule="auto"/>
        <w:ind w:firstLine="560" w:firstLineChars="200"/>
        <w:rPr>
          <w:rFonts w:ascii="仿宋" w:hAnsi="仿宋" w:eastAsia="仿宋" w:cs="仿宋"/>
          <w:sz w:val="28"/>
          <w:szCs w:val="28"/>
          <w:lang w:eastAsia="zh-CN"/>
        </w:rPr>
      </w:pPr>
      <w:r>
        <w:rPr>
          <w:rFonts w:hint="eastAsia" w:ascii="仿宋" w:hAnsi="仿宋" w:eastAsia="仿宋" w:cs="仿宋"/>
          <w:sz w:val="28"/>
          <w:szCs w:val="28"/>
          <w:lang w:eastAsia="zh-CN"/>
        </w:rPr>
        <w:t>根据国家对产品的使用说明要求，标准规定了产品的使用说明应符合标准中的技术要求。</w:t>
      </w:r>
    </w:p>
    <w:p>
      <w:pPr>
        <w:widowControl/>
        <w:spacing w:line="360" w:lineRule="auto"/>
        <w:ind w:firstLine="560" w:firstLineChars="200"/>
        <w:rPr>
          <w:rFonts w:ascii="仿宋" w:hAnsi="仿宋" w:eastAsia="仿宋" w:cs="仿宋"/>
          <w:sz w:val="28"/>
          <w:szCs w:val="28"/>
          <w:lang w:eastAsia="zh-CN"/>
        </w:rPr>
      </w:pPr>
      <w:r>
        <w:rPr>
          <w:rFonts w:hint="eastAsia" w:ascii="仿宋" w:hAnsi="仿宋" w:eastAsia="仿宋" w:cs="仿宋"/>
          <w:sz w:val="28"/>
          <w:szCs w:val="28"/>
          <w:lang w:eastAsia="zh-CN"/>
        </w:rPr>
        <w:t>产品包装按规定执行，运输、贮存根据产品的需要作了相应的规定。</w:t>
      </w:r>
    </w:p>
    <w:p>
      <w:pPr>
        <w:widowControl/>
        <w:spacing w:line="720" w:lineRule="auto"/>
        <w:rPr>
          <w:rFonts w:ascii="黑体" w:hAnsi="宋体" w:eastAsia="黑体" w:cs="黑体"/>
          <w:sz w:val="28"/>
          <w:szCs w:val="28"/>
          <w:lang w:eastAsia="zh-CN"/>
        </w:rPr>
      </w:pPr>
      <w:r>
        <w:rPr>
          <w:rFonts w:hint="eastAsia" w:ascii="黑体" w:hAnsi="宋体" w:eastAsia="黑体" w:cs="黑体"/>
          <w:sz w:val="28"/>
          <w:szCs w:val="28"/>
          <w:lang w:eastAsia="zh-CN"/>
        </w:rPr>
        <w:t>4.5  质量承诺</w:t>
      </w:r>
    </w:p>
    <w:p>
      <w:pPr>
        <w:spacing w:line="360" w:lineRule="auto"/>
        <w:ind w:firstLine="560" w:firstLineChars="200"/>
        <w:jc w:val="both"/>
        <w:rPr>
          <w:rFonts w:ascii="仿宋" w:hAnsi="仿宋" w:eastAsia="仿宋" w:cs="仿宋"/>
          <w:sz w:val="28"/>
          <w:szCs w:val="28"/>
          <w:lang w:eastAsia="zh-CN"/>
        </w:rPr>
      </w:pPr>
      <w:r>
        <w:rPr>
          <w:rFonts w:hint="eastAsia" w:ascii="仿宋" w:hAnsi="仿宋" w:eastAsia="仿宋" w:cs="仿宋"/>
          <w:sz w:val="28"/>
          <w:szCs w:val="28"/>
          <w:lang w:eastAsia="zh-CN"/>
        </w:rPr>
        <w:t>规定了产品保修期、维修服务和客户响应。</w:t>
      </w:r>
    </w:p>
    <w:p>
      <w:pPr>
        <w:widowControl/>
        <w:spacing w:line="720" w:lineRule="auto"/>
        <w:rPr>
          <w:rFonts w:ascii="黑体" w:hAnsi="宋体" w:eastAsia="黑体" w:cs="黑体"/>
          <w:sz w:val="28"/>
          <w:szCs w:val="28"/>
          <w:lang w:eastAsia="zh-CN"/>
        </w:rPr>
      </w:pPr>
      <w:r>
        <w:rPr>
          <w:rFonts w:hint="eastAsia" w:ascii="黑体" w:hAnsi="宋体" w:eastAsia="黑体" w:cs="黑体"/>
          <w:sz w:val="28"/>
          <w:szCs w:val="28"/>
          <w:lang w:eastAsia="zh-CN"/>
        </w:rPr>
        <w:t>5  与现行相关法律、法规、规章及相关标准的协调性</w:t>
      </w:r>
    </w:p>
    <w:p>
      <w:pPr>
        <w:widowControl/>
        <w:spacing w:line="360" w:lineRule="auto"/>
        <w:ind w:firstLine="560" w:firstLineChars="200"/>
        <w:rPr>
          <w:rFonts w:ascii="仿宋" w:hAnsi="仿宋" w:eastAsia="仿宋" w:cs="仿宋"/>
          <w:sz w:val="28"/>
          <w:szCs w:val="28"/>
          <w:lang w:eastAsia="zh-CN"/>
        </w:rPr>
      </w:pPr>
      <w:r>
        <w:rPr>
          <w:rFonts w:hint="eastAsia" w:ascii="仿宋" w:hAnsi="仿宋" w:eastAsia="仿宋" w:cs="仿宋"/>
          <w:sz w:val="28"/>
          <w:szCs w:val="28"/>
          <w:lang w:eastAsia="zh-CN"/>
        </w:rPr>
        <w:t>本标准内容符合现行法律、法规。</w:t>
      </w:r>
    </w:p>
    <w:p>
      <w:pPr>
        <w:widowControl/>
        <w:spacing w:line="720" w:lineRule="auto"/>
        <w:rPr>
          <w:rFonts w:ascii="黑体" w:hAnsi="宋体" w:eastAsia="黑体" w:cs="黑体"/>
          <w:sz w:val="28"/>
          <w:szCs w:val="28"/>
          <w:lang w:eastAsia="zh-CN"/>
        </w:rPr>
      </w:pPr>
      <w:r>
        <w:rPr>
          <w:rFonts w:hint="eastAsia" w:ascii="黑体" w:hAnsi="宋体" w:eastAsia="黑体" w:cs="黑体"/>
          <w:sz w:val="28"/>
          <w:szCs w:val="28"/>
          <w:lang w:eastAsia="zh-CN"/>
        </w:rPr>
        <w:t xml:space="preserve">6  标准的实施与宣贯 </w:t>
      </w:r>
    </w:p>
    <w:p>
      <w:pPr>
        <w:widowControl/>
        <w:spacing w:line="360" w:lineRule="auto"/>
        <w:ind w:firstLine="560" w:firstLineChars="200"/>
        <w:rPr>
          <w:rFonts w:ascii="仿宋" w:hAnsi="仿宋" w:eastAsia="仿宋" w:cs="仿宋"/>
          <w:sz w:val="28"/>
          <w:szCs w:val="28"/>
          <w:lang w:eastAsia="zh-CN"/>
        </w:rPr>
      </w:pPr>
      <w:r>
        <w:rPr>
          <w:rFonts w:hint="eastAsia" w:ascii="仿宋" w:hAnsi="仿宋" w:eastAsia="仿宋" w:cs="仿宋"/>
          <w:sz w:val="28"/>
          <w:szCs w:val="28"/>
          <w:lang w:eastAsia="zh-CN"/>
        </w:rPr>
        <w:t>已批准发布的佛山标准，文本由佛山市佛山标准和卓越绩效管理促进会在官方网站 （http://）上全文公布，供社会免费查阅。鼓励相关单位在标准信息公共服务平台（http://www.cpbz.gov.cn/）上自我声明公开执行本标准。</w:t>
      </w:r>
      <w:r>
        <w:rPr>
          <w:rFonts w:ascii="仿宋" w:hAnsi="仿宋" w:eastAsia="仿宋" w:cs="仿宋"/>
          <w:sz w:val="28"/>
          <w:szCs w:val="28"/>
          <w:lang w:eastAsia="zh-CN"/>
        </w:rPr>
        <w:t> </w:t>
      </w:r>
    </w:p>
    <w:p>
      <w:pPr>
        <w:widowControl/>
        <w:spacing w:line="720" w:lineRule="auto"/>
        <w:rPr>
          <w:rFonts w:ascii="黑体" w:hAnsi="宋体" w:eastAsia="黑体" w:cs="黑体"/>
          <w:sz w:val="28"/>
          <w:szCs w:val="28"/>
          <w:lang w:eastAsia="zh-CN"/>
        </w:rPr>
      </w:pPr>
      <w:r>
        <w:rPr>
          <w:rFonts w:hint="eastAsia" w:ascii="黑体" w:hAnsi="宋体" w:eastAsia="黑体" w:cs="黑体"/>
          <w:sz w:val="28"/>
          <w:szCs w:val="28"/>
          <w:lang w:eastAsia="zh-CN"/>
        </w:rPr>
        <w:t xml:space="preserve">7  其他应予说明的事项 </w:t>
      </w:r>
    </w:p>
    <w:p>
      <w:pPr>
        <w:widowControl/>
        <w:spacing w:line="360" w:lineRule="auto"/>
        <w:ind w:firstLine="560" w:firstLineChars="200"/>
        <w:rPr>
          <w:rFonts w:ascii="仿宋" w:hAnsi="仿宋" w:eastAsia="仿宋" w:cs="仿宋"/>
          <w:sz w:val="28"/>
          <w:szCs w:val="28"/>
          <w:lang w:eastAsia="zh-CN"/>
        </w:rPr>
      </w:pPr>
      <w:r>
        <w:rPr>
          <w:rFonts w:hint="eastAsia" w:ascii="仿宋" w:hAnsi="仿宋" w:eastAsia="仿宋" w:cs="仿宋"/>
          <w:sz w:val="28"/>
          <w:szCs w:val="28"/>
          <w:lang w:eastAsia="zh-CN"/>
        </w:rPr>
        <w:t>标准不涉及专利。</w:t>
      </w:r>
    </w:p>
    <w:p>
      <w:pPr>
        <w:widowControl/>
        <w:spacing w:line="360" w:lineRule="auto"/>
        <w:ind w:firstLine="560" w:firstLineChars="200"/>
        <w:jc w:val="right"/>
        <w:rPr>
          <w:rFonts w:ascii="仿宋" w:hAnsi="仿宋" w:eastAsia="仿宋" w:cs="仿宋"/>
          <w:sz w:val="28"/>
          <w:szCs w:val="28"/>
          <w:lang w:eastAsia="zh-CN"/>
        </w:rPr>
      </w:pPr>
      <w:r>
        <w:rPr>
          <w:rFonts w:hint="eastAsia" w:ascii="仿宋" w:hAnsi="仿宋" w:eastAsia="仿宋" w:cs="仿宋"/>
          <w:sz w:val="28"/>
          <w:szCs w:val="28"/>
          <w:lang w:eastAsia="zh-CN"/>
        </w:rPr>
        <w:t xml:space="preserve">《佛山标准 商用冷柜》标准研制工作组 </w:t>
      </w:r>
    </w:p>
    <w:p>
      <w:pPr>
        <w:widowControl/>
        <w:spacing w:line="360" w:lineRule="auto"/>
        <w:ind w:right="1120" w:firstLine="560" w:firstLineChars="200"/>
        <w:jc w:val="right"/>
        <w:rPr>
          <w:rFonts w:ascii="仿宋" w:hAnsi="仿宋" w:eastAsia="仿宋" w:cs="仿宋"/>
          <w:sz w:val="28"/>
          <w:szCs w:val="28"/>
          <w:lang w:eastAsia="zh-CN"/>
        </w:rPr>
      </w:pPr>
      <w:r>
        <w:rPr>
          <w:rFonts w:hint="eastAsia" w:ascii="仿宋" w:hAnsi="仿宋" w:eastAsia="仿宋" w:cs="仿宋"/>
          <w:sz w:val="28"/>
          <w:szCs w:val="28"/>
          <w:lang w:eastAsia="zh-CN"/>
        </w:rPr>
        <w:t>202</w:t>
      </w:r>
      <w:r>
        <w:rPr>
          <w:rFonts w:ascii="仿宋" w:hAnsi="仿宋" w:eastAsia="仿宋" w:cs="仿宋"/>
          <w:sz w:val="28"/>
          <w:szCs w:val="28"/>
          <w:lang w:eastAsia="zh-CN"/>
        </w:rPr>
        <w:t>4</w:t>
      </w:r>
      <w:r>
        <w:rPr>
          <w:rFonts w:hint="eastAsia" w:ascii="仿宋" w:hAnsi="仿宋" w:eastAsia="仿宋" w:cs="仿宋"/>
          <w:sz w:val="28"/>
          <w:szCs w:val="28"/>
          <w:lang w:eastAsia="zh-CN"/>
        </w:rPr>
        <w:t>年</w:t>
      </w:r>
      <w:r>
        <w:rPr>
          <w:rFonts w:hint="eastAsia" w:ascii="仿宋" w:hAnsi="仿宋" w:eastAsia="仿宋" w:cs="仿宋"/>
          <w:sz w:val="28"/>
          <w:szCs w:val="28"/>
          <w:lang w:val="en-US" w:eastAsia="zh-CN"/>
        </w:rPr>
        <w:t>6</w:t>
      </w:r>
      <w:r>
        <w:rPr>
          <w:rFonts w:hint="eastAsia" w:ascii="仿宋" w:hAnsi="仿宋" w:eastAsia="仿宋" w:cs="仿宋"/>
          <w:sz w:val="28"/>
          <w:szCs w:val="28"/>
          <w:lang w:eastAsia="zh-CN"/>
        </w:rPr>
        <w:t>月</w:t>
      </w:r>
      <w:r>
        <w:rPr>
          <w:rFonts w:hint="eastAsia" w:ascii="仿宋" w:hAnsi="仿宋" w:eastAsia="仿宋" w:cs="仿宋"/>
          <w:sz w:val="28"/>
          <w:szCs w:val="28"/>
          <w:lang w:val="en-US" w:eastAsia="zh-CN"/>
        </w:rPr>
        <w:t>1</w:t>
      </w:r>
      <w:r>
        <w:rPr>
          <w:rFonts w:ascii="仿宋" w:hAnsi="仿宋" w:eastAsia="仿宋" w:cs="仿宋"/>
          <w:sz w:val="28"/>
          <w:szCs w:val="28"/>
          <w:lang w:eastAsia="zh-CN"/>
        </w:rPr>
        <w:t>6</w:t>
      </w:r>
      <w:r>
        <w:rPr>
          <w:rFonts w:hint="eastAsia" w:ascii="仿宋" w:hAnsi="仿宋" w:eastAsia="仿宋" w:cs="仿宋"/>
          <w:sz w:val="28"/>
          <w:szCs w:val="28"/>
          <w:lang w:eastAsia="zh-CN"/>
        </w:rPr>
        <w:t>日</w:t>
      </w:r>
    </w:p>
    <w:sectPr>
      <w:footerReference r:id="rId3" w:type="default"/>
      <w:pgSz w:w="11906" w:h="16838"/>
      <w:pgMar w:top="1440" w:right="1080" w:bottom="1440" w:left="1080" w:header="851" w:footer="992" w:gutter="0"/>
      <w:cols w:space="425" w:num="1"/>
      <w:docGrid w:type="lines" w:linePitch="326"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auto"/>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rPr>
        <w:lang w:eastAsia="zh-CN"/>
      </w:rPr>
      <w:pict>
        <v:shape id="_x0000_s4097" o:spid="_x0000_s4097" o:spt="202" type="#_x0000_t202" style="position:absolute;left:0pt;margin-top:0pt;height:144pt;width:144pt;mso-position-horizontal:outside;mso-position-horizontal-relative:margin;mso-wrap-style:none;z-index:251659264;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">
          <v:path/>
          <v:fill on="f" focussize="0,0"/>
          <v:stroke on="f" weight="0.5pt" joinstyle="miter"/>
          <v:imagedata o:title=""/>
          <o:lock v:ext="edit"/>
          <v:textbox inset="0mm,0mm,0mm,0mm" style="mso-fit-shape-to-text:t;">
            <w:txbxContent>
              <w:p>
                <w:pPr>
                  <w:pStyle w:val="7"/>
                  <w:rPr>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lang w:eastAsia="zh-CN"/>
                  </w:rPr>
                  <w:t>10</w:t>
                </w:r>
                <w:r>
                  <w:rPr>
                    <w:rFonts w:hint="eastAsia"/>
                    <w:lang w:eastAsia="zh-CN"/>
                  </w:rP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2EC9D27"/>
    <w:multiLevelType w:val="singleLevel"/>
    <w:tmpl w:val="F2EC9D27"/>
    <w:lvl w:ilvl="0" w:tentative="0">
      <w:start w:val="1"/>
      <w:numFmt w:val="decimal"/>
      <w:suff w:val="nothing"/>
      <w:lvlText w:val="%1）"/>
      <w:lvlJc w:val="left"/>
    </w:lvl>
  </w:abstractNum>
  <w:abstractNum w:abstractNumId="1">
    <w:nsid w:val="079102AD"/>
    <w:multiLevelType w:val="multilevel"/>
    <w:tmpl w:val="079102AD"/>
    <w:lvl w:ilvl="0" w:tentative="0">
      <w:start w:val="1"/>
      <w:numFmt w:val="decimal"/>
      <w:pStyle w:val="24"/>
      <w:suff w:val="nothing"/>
      <w:lvlText w:val="注%1："/>
      <w:lvlJc w:val="left"/>
      <w:pPr>
        <w:ind w:left="811" w:hanging="448"/>
      </w:pPr>
      <w:rPr>
        <w:rFonts w:hint="eastAsia" w:ascii="黑体" w:eastAsia="黑体"/>
        <w:b w:val="0"/>
        <w:i w:val="0"/>
        <w:sz w:val="18"/>
        <w:lang w:val="en-US"/>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2">
    <w:nsid w:val="19782EDA"/>
    <w:multiLevelType w:val="multilevel"/>
    <w:tmpl w:val="19782EDA"/>
    <w:lvl w:ilvl="0" w:tentative="0">
      <w:start w:val="1"/>
      <w:numFmt w:val="lowerLetter"/>
      <w:pStyle w:val="22"/>
      <w:lvlText w:val="%1)"/>
      <w:lvlJc w:val="left"/>
      <w:pPr>
        <w:tabs>
          <w:tab w:val="left" w:pos="840"/>
        </w:tabs>
        <w:ind w:left="839" w:hanging="419"/>
      </w:pPr>
      <w:rPr>
        <w:rFonts w:hint="eastAsia" w:ascii="宋体" w:hAnsi="Times New Roman" w:eastAsia="宋体" w:cs="宋体"/>
        <w:b w:val="0"/>
        <w:sz w:val="21"/>
        <w:szCs w:val="21"/>
      </w:rPr>
    </w:lvl>
    <w:lvl w:ilvl="1" w:tentative="0">
      <w:start w:val="1"/>
      <w:numFmt w:val="decimal"/>
      <w:lvlText w:val="%2)"/>
      <w:lvlJc w:val="left"/>
      <w:pPr>
        <w:tabs>
          <w:tab w:val="left" w:pos="1260"/>
        </w:tabs>
        <w:ind w:left="1259" w:hanging="419"/>
      </w:pPr>
    </w:lvl>
    <w:lvl w:ilvl="2" w:tentative="0">
      <w:start w:val="1"/>
      <w:numFmt w:val="decimal"/>
      <w:lvlText w:val="(%3)"/>
      <w:lvlJc w:val="left"/>
      <w:pPr>
        <w:tabs>
          <w:tab w:val="left" w:pos="0"/>
        </w:tabs>
        <w:ind w:left="1679" w:hanging="420"/>
      </w:pPr>
      <w:rPr>
        <w:rFonts w:hint="eastAsia" w:ascii="宋体" w:hAnsi="Times New Roman" w:eastAsia="宋体" w:cs="宋体"/>
        <w:b w:val="0"/>
        <w:sz w:val="21"/>
        <w:szCs w:val="21"/>
      </w:rPr>
    </w:lvl>
    <w:lvl w:ilvl="3" w:tentative="0">
      <w:start w:val="1"/>
      <w:numFmt w:val="decimal"/>
      <w:lvlText w:val="%4."/>
      <w:lvlJc w:val="left"/>
      <w:pPr>
        <w:tabs>
          <w:tab w:val="left" w:pos="2100"/>
        </w:tabs>
        <w:ind w:left="2099" w:hanging="419"/>
      </w:pPr>
    </w:lvl>
    <w:lvl w:ilvl="4" w:tentative="0">
      <w:start w:val="1"/>
      <w:numFmt w:val="lowerLetter"/>
      <w:lvlText w:val="%5)"/>
      <w:lvlJc w:val="left"/>
      <w:pPr>
        <w:tabs>
          <w:tab w:val="left" w:pos="2520"/>
        </w:tabs>
        <w:ind w:left="2519" w:hanging="419"/>
      </w:pPr>
    </w:lvl>
    <w:lvl w:ilvl="5" w:tentative="0">
      <w:start w:val="1"/>
      <w:numFmt w:val="lowerRoman"/>
      <w:lvlText w:val="%6."/>
      <w:lvlJc w:val="right"/>
      <w:pPr>
        <w:tabs>
          <w:tab w:val="left" w:pos="2940"/>
        </w:tabs>
        <w:ind w:left="2939" w:hanging="419"/>
      </w:pPr>
    </w:lvl>
    <w:lvl w:ilvl="6" w:tentative="0">
      <w:start w:val="1"/>
      <w:numFmt w:val="decimal"/>
      <w:lvlText w:val="%7."/>
      <w:lvlJc w:val="left"/>
      <w:pPr>
        <w:tabs>
          <w:tab w:val="left" w:pos="3360"/>
        </w:tabs>
        <w:ind w:left="3359" w:hanging="419"/>
      </w:pPr>
    </w:lvl>
    <w:lvl w:ilvl="7" w:tentative="0">
      <w:start w:val="1"/>
      <w:numFmt w:val="lowerLetter"/>
      <w:lvlText w:val="%8)"/>
      <w:lvlJc w:val="left"/>
      <w:pPr>
        <w:tabs>
          <w:tab w:val="left" w:pos="3780"/>
        </w:tabs>
        <w:ind w:left="3779" w:hanging="419"/>
      </w:pPr>
    </w:lvl>
    <w:lvl w:ilvl="8" w:tentative="0">
      <w:start w:val="1"/>
      <w:numFmt w:val="lowerRoman"/>
      <w:lvlText w:val="%9."/>
      <w:lvlJc w:val="right"/>
      <w:pPr>
        <w:tabs>
          <w:tab w:val="left" w:pos="4200"/>
        </w:tabs>
        <w:ind w:left="4199" w:hanging="419"/>
      </w:pPr>
    </w:lvl>
  </w:abstractNum>
  <w:abstractNum w:abstractNumId="3">
    <w:nsid w:val="1FC91163"/>
    <w:multiLevelType w:val="multilevel"/>
    <w:tmpl w:val="1FC91163"/>
    <w:lvl w:ilvl="0" w:tentative="0">
      <w:start w:val="1"/>
      <w:numFmt w:val="decimal"/>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19"/>
      <w:suff w:val="nothing"/>
      <w:lvlText w:val="%1.%2　"/>
      <w:lvlJc w:val="left"/>
      <w:pPr>
        <w:ind w:left="709" w:firstLine="0"/>
      </w:pPr>
      <w:rPr>
        <w:rFonts w:hint="eastAsia" w:ascii="黑体" w:hAnsi="Times New Roman" w:eastAsia="黑体" w:cs="Times New Roman"/>
        <w:b w:val="0"/>
        <w:bCs w:val="0"/>
        <w:i w:val="0"/>
        <w:iCs w:val="0"/>
        <w:caps w:val="0"/>
        <w:strike w:val="0"/>
        <w:dstrike w:val="0"/>
        <w:vanish w:val="0"/>
        <w:spacing w:val="0"/>
        <w:kern w:val="0"/>
        <w:position w:val="0"/>
        <w:sz w:val="21"/>
        <w:szCs w:val="21"/>
        <w:u w:val="none"/>
        <w:vertAlign w:val="baseline"/>
      </w:rPr>
    </w:lvl>
    <w:lvl w:ilvl="2" w:tentative="0">
      <w:start w:val="1"/>
      <w:numFmt w:val="decimal"/>
      <w:pStyle w:val="18"/>
      <w:suff w:val="nothing"/>
      <w:lvlText w:val="%1.%2.%3　"/>
      <w:lvlJc w:val="left"/>
      <w:pPr>
        <w:ind w:left="0" w:firstLine="0"/>
      </w:pPr>
      <w:rPr>
        <w:rFonts w:hint="eastAsia" w:ascii="黑体" w:hAnsi="Times New Roman" w:eastAsia="黑体"/>
        <w:b w:val="0"/>
        <w:i w:val="0"/>
        <w:color w:val="auto"/>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4">
    <w:nsid w:val="557C2AF5"/>
    <w:multiLevelType w:val="multilevel"/>
    <w:tmpl w:val="557C2AF5"/>
    <w:lvl w:ilvl="0" w:tentative="0">
      <w:start w:val="1"/>
      <w:numFmt w:val="decimal"/>
      <w:pStyle w:val="34"/>
      <w:suff w:val="nothing"/>
      <w:lvlText w:val="图%1　"/>
      <w:lvlJc w:val="left"/>
      <w:pPr>
        <w:ind w:left="0" w:firstLine="0"/>
      </w:pPr>
      <w:rPr>
        <w:rFonts w:hint="eastAsia" w:ascii="黑体" w:hAnsi="Times New Roman" w:eastAsia="黑体"/>
        <w:b w:val="0"/>
        <w:i w:val="0"/>
        <w:sz w:val="21"/>
      </w:rPr>
    </w:lvl>
    <w:lvl w:ilvl="1" w:tentative="0">
      <w:start w:val="1"/>
      <w:numFmt w:val="decimal"/>
      <w:suff w:val="nothing"/>
      <w:lvlText w:val="%1%2　"/>
      <w:lvlJc w:val="left"/>
      <w:pPr>
        <w:ind w:left="0" w:firstLine="0"/>
      </w:pPr>
      <w:rPr>
        <w:rFonts w:hint="default" w:ascii="Times New Roman" w:hAnsi="Times New Roman" w:eastAsia="黑体"/>
        <w:b w:val="0"/>
        <w:i w:val="0"/>
        <w:sz w:val="21"/>
      </w:rPr>
    </w:lvl>
    <w:lvl w:ilvl="2" w:tentative="0">
      <w:start w:val="1"/>
      <w:numFmt w:val="decimal"/>
      <w:suff w:val="nothing"/>
      <w:lvlText w:val="%1%2.%3　"/>
      <w:lvlJc w:val="left"/>
      <w:pPr>
        <w:ind w:left="0" w:firstLine="0"/>
      </w:pPr>
      <w:rPr>
        <w:rFonts w:hint="default" w:ascii="Times New Roman" w:hAnsi="Times New Roman" w:eastAsia="黑体"/>
        <w:b w:val="0"/>
        <w:i w:val="0"/>
        <w:sz w:val="21"/>
      </w:rPr>
    </w:lvl>
    <w:lvl w:ilvl="3" w:tentative="0">
      <w:start w:val="1"/>
      <w:numFmt w:val="decimal"/>
      <w:suff w:val="nothing"/>
      <w:lvlText w:val="%1%2.%3.%4　"/>
      <w:lvlJc w:val="left"/>
      <w:pPr>
        <w:ind w:left="0" w:firstLine="0"/>
      </w:pPr>
      <w:rPr>
        <w:rFonts w:hint="default" w:ascii="Times New Roman" w:hAnsi="Times New Roman" w:eastAsia="黑体"/>
        <w:b w:val="0"/>
        <w:i w:val="0"/>
        <w:sz w:val="21"/>
      </w:rPr>
    </w:lvl>
    <w:lvl w:ilvl="4" w:tentative="0">
      <w:start w:val="1"/>
      <w:numFmt w:val="decimal"/>
      <w:suff w:val="nothing"/>
      <w:lvlText w:val="%1%2.%3.%4.%5　"/>
      <w:lvlJc w:val="left"/>
      <w:pPr>
        <w:ind w:left="0" w:firstLine="0"/>
      </w:pPr>
      <w:rPr>
        <w:rFonts w:hint="default" w:ascii="Times New Roman" w:hAnsi="Times New Roman" w:eastAsia="黑体"/>
        <w:b w:val="0"/>
        <w:i w:val="0"/>
        <w:sz w:val="21"/>
      </w:rPr>
    </w:lvl>
    <w:lvl w:ilvl="5" w:tentative="0">
      <w:start w:val="1"/>
      <w:numFmt w:val="decimal"/>
      <w:suff w:val="nothing"/>
      <w:lvlText w:val="%1%2.%3.%4.%5.%6　"/>
      <w:lvlJc w:val="left"/>
      <w:pPr>
        <w:ind w:left="0" w:firstLine="0"/>
      </w:pPr>
      <w:rPr>
        <w:rFonts w:hint="default" w:ascii="Times New Roman" w:hAnsi="Times New Roman" w:eastAsia="黑体"/>
        <w:b w:val="0"/>
        <w:i w:val="0"/>
        <w:sz w:val="21"/>
      </w:rPr>
    </w:lvl>
    <w:lvl w:ilvl="6" w:tentative="0">
      <w:start w:val="1"/>
      <w:numFmt w:val="decimal"/>
      <w:suff w:val="nothing"/>
      <w:lvlText w:val="%1%2.%3.%4.%5.%6.%7　"/>
      <w:lvlJc w:val="left"/>
      <w:pPr>
        <w:ind w:left="0" w:firstLine="0"/>
      </w:pPr>
      <w:rPr>
        <w:rFonts w:hint="default" w:ascii="Times New Roman"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5">
    <w:nsid w:val="646260FA"/>
    <w:multiLevelType w:val="multilevel"/>
    <w:tmpl w:val="646260FA"/>
    <w:lvl w:ilvl="0" w:tentative="0">
      <w:start w:val="1"/>
      <w:numFmt w:val="decimal"/>
      <w:pStyle w:val="33"/>
      <w:suff w:val="nothing"/>
      <w:lvlText w:val="表%1　"/>
      <w:lvlJc w:val="left"/>
      <w:pPr>
        <w:ind w:left="0" w:firstLine="0"/>
      </w:pPr>
      <w:rPr>
        <w:rFonts w:hint="eastAsia" w:ascii="黑体" w:hAnsi="Times New Roman" w:eastAsia="黑体"/>
        <w:b w:val="0"/>
        <w:i w:val="0"/>
        <w:sz w:val="21"/>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6">
    <w:nsid w:val="67D090C6"/>
    <w:multiLevelType w:val="multilevel"/>
    <w:tmpl w:val="67D090C6"/>
    <w:lvl w:ilvl="0" w:tentative="0">
      <w:start w:val="1"/>
      <w:numFmt w:val="decimal"/>
      <w:suff w:val="space"/>
      <w:lvlText w:val="%1"/>
      <w:lvlJc w:val="left"/>
      <w:pPr>
        <w:ind w:left="0" w:leftChars="0" w:firstLine="0" w:firstLineChars="0"/>
      </w:pPr>
      <w:rPr>
        <w:rFonts w:hint="default"/>
      </w:rPr>
    </w:lvl>
    <w:lvl w:ilvl="1" w:tentative="0">
      <w:start w:val="1"/>
      <w:numFmt w:val="decimal"/>
      <w:suff w:val="space"/>
      <w:lvlText w:val="%1.%2"/>
      <w:lvlJc w:val="left"/>
      <w:pPr>
        <w:ind w:left="0" w:leftChars="0" w:firstLine="0" w:firstLineChars="0"/>
      </w:pPr>
      <w:rPr>
        <w:rFonts w:hint="default"/>
      </w:rPr>
    </w:lvl>
    <w:lvl w:ilvl="2" w:tentative="0">
      <w:start w:val="1"/>
      <w:numFmt w:val="decimal"/>
      <w:suff w:val="space"/>
      <w:lvlText w:val="%1.%2.%3"/>
      <w:lvlJc w:val="left"/>
      <w:pPr>
        <w:ind w:left="0" w:leftChars="0" w:firstLine="0" w:firstLineChars="0"/>
      </w:pPr>
      <w:rPr>
        <w:rFonts w:hint="default"/>
      </w:rPr>
    </w:lvl>
    <w:lvl w:ilvl="3" w:tentative="0">
      <w:start w:val="1"/>
      <w:numFmt w:val="decimal"/>
      <w:suff w:val="space"/>
      <w:lvlText w:val="%1.%2.%3.%4"/>
      <w:lvlJc w:val="left"/>
      <w:pPr>
        <w:ind w:left="0" w:leftChars="0" w:firstLine="0" w:firstLineChars="0"/>
      </w:pPr>
      <w:rPr>
        <w:rFonts w:hint="default"/>
      </w:rPr>
    </w:lvl>
    <w:lvl w:ilvl="4" w:tentative="0">
      <w:start w:val="1"/>
      <w:numFmt w:val="decimal"/>
      <w:suff w:val="space"/>
      <w:lvlText w:val="%1.%2.%3.%4.%5"/>
      <w:lvlJc w:val="left"/>
      <w:pPr>
        <w:ind w:left="0" w:leftChars="0" w:firstLine="0" w:firstLineChars="0"/>
      </w:pPr>
      <w:rPr>
        <w:rFonts w:hint="default"/>
      </w:rPr>
    </w:lvl>
    <w:lvl w:ilvl="5" w:tentative="0">
      <w:start w:val="1"/>
      <w:numFmt w:val="decimal"/>
      <w:suff w:val="space"/>
      <w:lvlText w:val="%1.%2.%3.%4.%5.%6"/>
      <w:lvlJc w:val="left"/>
      <w:pPr>
        <w:ind w:left="0" w:leftChars="0" w:firstLine="0" w:firstLineChars="0"/>
      </w:pPr>
      <w:rPr>
        <w:rFonts w:hint="default"/>
      </w:rPr>
    </w:lvl>
    <w:lvl w:ilvl="6" w:tentative="0">
      <w:start w:val="1"/>
      <w:numFmt w:val="decimal"/>
      <w:suff w:val="space"/>
      <w:lvlText w:val="%1.%2.%3.%4.%5.%6.%7"/>
      <w:lvlJc w:val="left"/>
      <w:pPr>
        <w:ind w:left="0" w:leftChars="0" w:firstLine="0" w:firstLineChars="0"/>
      </w:pPr>
      <w:rPr>
        <w:rFonts w:hint="default"/>
      </w:rPr>
    </w:lvl>
    <w:lvl w:ilvl="7" w:tentative="0">
      <w:start w:val="1"/>
      <w:numFmt w:val="decimal"/>
      <w:suff w:val="space"/>
      <w:lvlText w:val="%1.%2.%3.%4.%5.%6.%7.%8"/>
      <w:lvlJc w:val="left"/>
      <w:pPr>
        <w:ind w:left="0" w:leftChars="0" w:firstLine="0" w:firstLineChars="0"/>
      </w:pPr>
      <w:rPr>
        <w:rFonts w:hint="default"/>
      </w:rPr>
    </w:lvl>
    <w:lvl w:ilvl="8" w:tentative="0">
      <w:start w:val="1"/>
      <w:numFmt w:val="decimal"/>
      <w:suff w:val="space"/>
      <w:lvlText w:val="%1.%2.%3.%4.%5.%6.%7.%8.%9"/>
      <w:lvlJc w:val="left"/>
      <w:pPr>
        <w:ind w:left="0" w:leftChars="0" w:firstLine="0" w:firstLineChars="0"/>
      </w:pPr>
      <w:rPr>
        <w:rFonts w:hint="default"/>
      </w:rPr>
    </w:lvl>
  </w:abstractNum>
  <w:abstractNum w:abstractNumId="7">
    <w:nsid w:val="6FC930AC"/>
    <w:multiLevelType w:val="multilevel"/>
    <w:tmpl w:val="6FC930AC"/>
    <w:lvl w:ilvl="0" w:tentative="0">
      <w:start w:val="1"/>
      <w:numFmt w:val="decimal"/>
      <w:suff w:val="nothing"/>
      <w:lvlText w:val="%1　"/>
      <w:lvlJc w:val="left"/>
      <w:pPr>
        <w:ind w:left="0" w:firstLine="0"/>
      </w:pPr>
      <w:rPr>
        <w:rFonts w:hint="eastAsia" w:ascii="黑体" w:hAnsi="黑体" w:eastAsia="黑体"/>
        <w:sz w:val="20"/>
      </w:rPr>
    </w:lvl>
    <w:lvl w:ilvl="1" w:tentative="0">
      <w:start w:val="1"/>
      <w:numFmt w:val="decimal"/>
      <w:suff w:val="nothing"/>
      <w:lvlText w:val="%1.%2　"/>
      <w:lvlJc w:val="left"/>
      <w:pPr>
        <w:ind w:left="1276" w:firstLine="0"/>
      </w:pPr>
      <w:rPr>
        <w:rFonts w:hint="eastAsia" w:ascii="黑体" w:hAnsi="黑体" w:eastAsia="黑体"/>
        <w:sz w:val="20"/>
      </w:rPr>
    </w:lvl>
    <w:lvl w:ilvl="2" w:tentative="0">
      <w:start w:val="1"/>
      <w:numFmt w:val="decimal"/>
      <w:pStyle w:val="40"/>
      <w:suff w:val="nothing"/>
      <w:lvlText w:val="%1.%2.%3　"/>
      <w:lvlJc w:val="left"/>
      <w:pPr>
        <w:ind w:left="0" w:firstLine="0"/>
      </w:pPr>
      <w:rPr>
        <w:rFonts w:hint="eastAsia" w:ascii="黑体" w:hAnsi="黑体" w:eastAsia="黑体"/>
        <w:sz w:val="20"/>
      </w:rPr>
    </w:lvl>
    <w:lvl w:ilvl="3" w:tentative="0">
      <w:start w:val="1"/>
      <w:numFmt w:val="decimal"/>
      <w:suff w:val="nothing"/>
      <w:lvlText w:val="%1.%2.%3.%4　"/>
      <w:lvlJc w:val="left"/>
      <w:pPr>
        <w:ind w:left="0" w:firstLine="0"/>
      </w:pPr>
      <w:rPr>
        <w:rFonts w:hint="eastAsia" w:ascii="黑体" w:hAnsi="黑体" w:eastAsia="黑体"/>
        <w:sz w:val="20"/>
      </w:rPr>
    </w:lvl>
    <w:lvl w:ilvl="4" w:tentative="0">
      <w:start w:val="1"/>
      <w:numFmt w:val="decimal"/>
      <w:suff w:val="nothing"/>
      <w:lvlText w:val="%1.%2.%3.%4.%5　"/>
      <w:lvlJc w:val="left"/>
      <w:pPr>
        <w:ind w:left="0" w:firstLine="0"/>
      </w:pPr>
      <w:rPr>
        <w:rFonts w:hint="eastAsia" w:ascii="黑体" w:hAnsi="黑体" w:eastAsia="黑体"/>
        <w:sz w:val="20"/>
      </w:rPr>
    </w:lvl>
    <w:lvl w:ilvl="5" w:tentative="0">
      <w:start w:val="1"/>
      <w:numFmt w:val="decimal"/>
      <w:suff w:val="nothing"/>
      <w:lvlText w:val="%1.%2.%3.%4.%5.%6　"/>
      <w:lvlJc w:val="left"/>
      <w:pPr>
        <w:ind w:left="0" w:firstLine="0"/>
      </w:pPr>
      <w:rPr>
        <w:rFonts w:hint="eastAsia" w:ascii="黑体" w:hAnsi="黑体" w:eastAsia="黑体"/>
        <w:sz w:val="20"/>
      </w:rPr>
    </w:lvl>
    <w:lvl w:ilvl="6" w:tentative="0">
      <w:start w:val="1"/>
      <w:numFmt w:val="decimal"/>
      <w:lvlText w:val="%1.%2.%3.%4.%5.%6.%7."/>
      <w:lvlJc w:val="left"/>
      <w:pPr>
        <w:ind w:left="1276" w:hanging="1276"/>
      </w:pPr>
      <w:rPr>
        <w:rFonts w:hint="eastAsia"/>
      </w:rPr>
    </w:lvl>
    <w:lvl w:ilvl="7" w:tentative="0">
      <w:start w:val="1"/>
      <w:numFmt w:val="decimal"/>
      <w:lvlText w:val="%1.%2.%3.%4.%5.%6.%7.%8."/>
      <w:lvlJc w:val="left"/>
      <w:pPr>
        <w:ind w:left="1418" w:hanging="1418"/>
      </w:pPr>
      <w:rPr>
        <w:rFonts w:hint="eastAsia"/>
      </w:rPr>
    </w:lvl>
    <w:lvl w:ilvl="8" w:tentative="0">
      <w:start w:val="1"/>
      <w:numFmt w:val="decimal"/>
      <w:lvlText w:val="%1.%2.%3.%4.%5.%6.%7.%8.%9."/>
      <w:lvlJc w:val="left"/>
      <w:pPr>
        <w:ind w:left="1559" w:hanging="1559"/>
      </w:pPr>
      <w:rPr>
        <w:rFonts w:hint="eastAsia"/>
      </w:rPr>
    </w:lvl>
  </w:abstractNum>
  <w:abstractNum w:abstractNumId="8">
    <w:nsid w:val="7279CB2F"/>
    <w:multiLevelType w:val="singleLevel"/>
    <w:tmpl w:val="7279CB2F"/>
    <w:lvl w:ilvl="0" w:tentative="0">
      <w:start w:val="1"/>
      <w:numFmt w:val="decimal"/>
      <w:suff w:val="nothing"/>
      <w:lvlText w:val="%1）"/>
      <w:lvlJc w:val="left"/>
    </w:lvl>
  </w:abstractNum>
  <w:num w:numId="1">
    <w:abstractNumId w:val="3"/>
  </w:num>
  <w:num w:numId="2">
    <w:abstractNumId w:val="2"/>
  </w:num>
  <w:num w:numId="3">
    <w:abstractNumId w:val="1"/>
  </w:num>
  <w:num w:numId="4">
    <w:abstractNumId w:val="5"/>
  </w:num>
  <w:num w:numId="5">
    <w:abstractNumId w:val="4"/>
  </w:num>
  <w:num w:numId="6">
    <w:abstractNumId w:val="7"/>
  </w:num>
  <w:num w:numId="7">
    <w:abstractNumId w:val="6"/>
  </w:num>
  <w:num w:numId="8">
    <w:abstractNumId w:val="0"/>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HorizontalSpacing w:val="120"/>
  <w:drawingGridVerticalSpacing w:val="163"/>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ODQ3NzI0YjNlNjM1OWRmMTNmYzVhZDE1Nzk1MzVlOTEifQ=="/>
  </w:docVars>
  <w:rsids>
    <w:rsidRoot w:val="5EBC12FA"/>
    <w:rsid w:val="00002D36"/>
    <w:rsid w:val="00010510"/>
    <w:rsid w:val="0001069C"/>
    <w:rsid w:val="0001178E"/>
    <w:rsid w:val="00011B1D"/>
    <w:rsid w:val="000133BD"/>
    <w:rsid w:val="00017C5C"/>
    <w:rsid w:val="00020296"/>
    <w:rsid w:val="000210B7"/>
    <w:rsid w:val="0002183F"/>
    <w:rsid w:val="00021B53"/>
    <w:rsid w:val="0002393D"/>
    <w:rsid w:val="000256A0"/>
    <w:rsid w:val="00026E7C"/>
    <w:rsid w:val="000315F1"/>
    <w:rsid w:val="000324BA"/>
    <w:rsid w:val="000327C0"/>
    <w:rsid w:val="0003468E"/>
    <w:rsid w:val="00035EB0"/>
    <w:rsid w:val="000379E8"/>
    <w:rsid w:val="000400C3"/>
    <w:rsid w:val="0004121A"/>
    <w:rsid w:val="000416D2"/>
    <w:rsid w:val="00041A0B"/>
    <w:rsid w:val="000439EC"/>
    <w:rsid w:val="00046ECD"/>
    <w:rsid w:val="000532DB"/>
    <w:rsid w:val="00054019"/>
    <w:rsid w:val="00055186"/>
    <w:rsid w:val="000574F9"/>
    <w:rsid w:val="0005788F"/>
    <w:rsid w:val="00061B69"/>
    <w:rsid w:val="00061FBE"/>
    <w:rsid w:val="000630C5"/>
    <w:rsid w:val="00063DFD"/>
    <w:rsid w:val="0006524A"/>
    <w:rsid w:val="00066063"/>
    <w:rsid w:val="000673F4"/>
    <w:rsid w:val="00067B62"/>
    <w:rsid w:val="00070FBE"/>
    <w:rsid w:val="000738BC"/>
    <w:rsid w:val="000760AF"/>
    <w:rsid w:val="00076BAA"/>
    <w:rsid w:val="0008080B"/>
    <w:rsid w:val="00081572"/>
    <w:rsid w:val="0008480B"/>
    <w:rsid w:val="00085839"/>
    <w:rsid w:val="0008624E"/>
    <w:rsid w:val="00087088"/>
    <w:rsid w:val="0008780E"/>
    <w:rsid w:val="0009129D"/>
    <w:rsid w:val="0009542D"/>
    <w:rsid w:val="000960BF"/>
    <w:rsid w:val="000973D8"/>
    <w:rsid w:val="00097D97"/>
    <w:rsid w:val="000A0057"/>
    <w:rsid w:val="000A03FB"/>
    <w:rsid w:val="000A1E89"/>
    <w:rsid w:val="000A4042"/>
    <w:rsid w:val="000A43C3"/>
    <w:rsid w:val="000A466B"/>
    <w:rsid w:val="000B040B"/>
    <w:rsid w:val="000B1D65"/>
    <w:rsid w:val="000B29B4"/>
    <w:rsid w:val="000B420C"/>
    <w:rsid w:val="000B71E6"/>
    <w:rsid w:val="000B7755"/>
    <w:rsid w:val="000C2289"/>
    <w:rsid w:val="000C3665"/>
    <w:rsid w:val="000C4BCF"/>
    <w:rsid w:val="000C6CB6"/>
    <w:rsid w:val="000C7C69"/>
    <w:rsid w:val="000D0B48"/>
    <w:rsid w:val="000D1BE4"/>
    <w:rsid w:val="000D34D8"/>
    <w:rsid w:val="000D4BC3"/>
    <w:rsid w:val="000D579A"/>
    <w:rsid w:val="000E007C"/>
    <w:rsid w:val="000E03A1"/>
    <w:rsid w:val="000E074D"/>
    <w:rsid w:val="000E176B"/>
    <w:rsid w:val="000E4E4F"/>
    <w:rsid w:val="000E53C5"/>
    <w:rsid w:val="000F14B2"/>
    <w:rsid w:val="000F2509"/>
    <w:rsid w:val="000F252D"/>
    <w:rsid w:val="00101C70"/>
    <w:rsid w:val="00101ECB"/>
    <w:rsid w:val="0010348A"/>
    <w:rsid w:val="00106EAD"/>
    <w:rsid w:val="00110881"/>
    <w:rsid w:val="00111465"/>
    <w:rsid w:val="001114FF"/>
    <w:rsid w:val="0012051C"/>
    <w:rsid w:val="00124AB0"/>
    <w:rsid w:val="00127180"/>
    <w:rsid w:val="00131104"/>
    <w:rsid w:val="001354F7"/>
    <w:rsid w:val="001368AB"/>
    <w:rsid w:val="00137EC5"/>
    <w:rsid w:val="001403CC"/>
    <w:rsid w:val="001422EC"/>
    <w:rsid w:val="00142703"/>
    <w:rsid w:val="00151F4E"/>
    <w:rsid w:val="001522C3"/>
    <w:rsid w:val="00154027"/>
    <w:rsid w:val="00157412"/>
    <w:rsid w:val="00160A3B"/>
    <w:rsid w:val="001620FC"/>
    <w:rsid w:val="001665F6"/>
    <w:rsid w:val="001673BC"/>
    <w:rsid w:val="00174901"/>
    <w:rsid w:val="0017524B"/>
    <w:rsid w:val="00177050"/>
    <w:rsid w:val="001805B8"/>
    <w:rsid w:val="00187A3D"/>
    <w:rsid w:val="00192A8A"/>
    <w:rsid w:val="001955CB"/>
    <w:rsid w:val="0019614F"/>
    <w:rsid w:val="001A4E9C"/>
    <w:rsid w:val="001A6329"/>
    <w:rsid w:val="001A634B"/>
    <w:rsid w:val="001A7065"/>
    <w:rsid w:val="001A7B84"/>
    <w:rsid w:val="001B06B8"/>
    <w:rsid w:val="001B1B8E"/>
    <w:rsid w:val="001B4C07"/>
    <w:rsid w:val="001B4F98"/>
    <w:rsid w:val="001B7C1E"/>
    <w:rsid w:val="001C076A"/>
    <w:rsid w:val="001C29DA"/>
    <w:rsid w:val="001C37E3"/>
    <w:rsid w:val="001C4949"/>
    <w:rsid w:val="001C7AA8"/>
    <w:rsid w:val="001C7BB6"/>
    <w:rsid w:val="001D6418"/>
    <w:rsid w:val="001D6A9E"/>
    <w:rsid w:val="001E0E6D"/>
    <w:rsid w:val="001E1893"/>
    <w:rsid w:val="001E383F"/>
    <w:rsid w:val="001E6A03"/>
    <w:rsid w:val="001F4EE2"/>
    <w:rsid w:val="001F6E8E"/>
    <w:rsid w:val="001F74B6"/>
    <w:rsid w:val="0020028E"/>
    <w:rsid w:val="002011A2"/>
    <w:rsid w:val="0020124A"/>
    <w:rsid w:val="00205F8F"/>
    <w:rsid w:val="002060F4"/>
    <w:rsid w:val="00206D85"/>
    <w:rsid w:val="0020738D"/>
    <w:rsid w:val="00216CD4"/>
    <w:rsid w:val="00221540"/>
    <w:rsid w:val="002215F7"/>
    <w:rsid w:val="0022161E"/>
    <w:rsid w:val="00221B6D"/>
    <w:rsid w:val="002274A4"/>
    <w:rsid w:val="00227F08"/>
    <w:rsid w:val="00230F1B"/>
    <w:rsid w:val="002317F8"/>
    <w:rsid w:val="002329C3"/>
    <w:rsid w:val="002350EA"/>
    <w:rsid w:val="002400C7"/>
    <w:rsid w:val="00242C58"/>
    <w:rsid w:val="00244A0D"/>
    <w:rsid w:val="00244B76"/>
    <w:rsid w:val="00244E49"/>
    <w:rsid w:val="00246CAA"/>
    <w:rsid w:val="0024794B"/>
    <w:rsid w:val="00250AC6"/>
    <w:rsid w:val="00253AA8"/>
    <w:rsid w:val="00257EDA"/>
    <w:rsid w:val="00263B91"/>
    <w:rsid w:val="00264B27"/>
    <w:rsid w:val="002651C7"/>
    <w:rsid w:val="00266373"/>
    <w:rsid w:val="002702B7"/>
    <w:rsid w:val="00271257"/>
    <w:rsid w:val="00271ADF"/>
    <w:rsid w:val="00277FAD"/>
    <w:rsid w:val="00281521"/>
    <w:rsid w:val="00281848"/>
    <w:rsid w:val="00281C72"/>
    <w:rsid w:val="00282F6B"/>
    <w:rsid w:val="002834AE"/>
    <w:rsid w:val="00283E16"/>
    <w:rsid w:val="002864DD"/>
    <w:rsid w:val="002867A3"/>
    <w:rsid w:val="00287145"/>
    <w:rsid w:val="002912CF"/>
    <w:rsid w:val="00293B91"/>
    <w:rsid w:val="00294765"/>
    <w:rsid w:val="00294B38"/>
    <w:rsid w:val="00294D13"/>
    <w:rsid w:val="002A1F2C"/>
    <w:rsid w:val="002A4377"/>
    <w:rsid w:val="002A6D11"/>
    <w:rsid w:val="002A6E58"/>
    <w:rsid w:val="002A7F08"/>
    <w:rsid w:val="002B1159"/>
    <w:rsid w:val="002B1C95"/>
    <w:rsid w:val="002B207C"/>
    <w:rsid w:val="002B7DE2"/>
    <w:rsid w:val="002C11AC"/>
    <w:rsid w:val="002C2535"/>
    <w:rsid w:val="002C38B5"/>
    <w:rsid w:val="002C57FC"/>
    <w:rsid w:val="002C782D"/>
    <w:rsid w:val="002D1B11"/>
    <w:rsid w:val="002D3DEF"/>
    <w:rsid w:val="002E4FB0"/>
    <w:rsid w:val="002E6186"/>
    <w:rsid w:val="002E6C99"/>
    <w:rsid w:val="002F16CD"/>
    <w:rsid w:val="002F1B13"/>
    <w:rsid w:val="002F226C"/>
    <w:rsid w:val="002F3A01"/>
    <w:rsid w:val="002F448C"/>
    <w:rsid w:val="002F4C40"/>
    <w:rsid w:val="003014FB"/>
    <w:rsid w:val="00301655"/>
    <w:rsid w:val="00304B2E"/>
    <w:rsid w:val="00306562"/>
    <w:rsid w:val="003147F9"/>
    <w:rsid w:val="00321415"/>
    <w:rsid w:val="003216CD"/>
    <w:rsid w:val="00322FE3"/>
    <w:rsid w:val="003233E8"/>
    <w:rsid w:val="00335D75"/>
    <w:rsid w:val="0034212A"/>
    <w:rsid w:val="003446E3"/>
    <w:rsid w:val="00344E73"/>
    <w:rsid w:val="00353C90"/>
    <w:rsid w:val="0035716D"/>
    <w:rsid w:val="00357589"/>
    <w:rsid w:val="00357EF1"/>
    <w:rsid w:val="0036151E"/>
    <w:rsid w:val="00363708"/>
    <w:rsid w:val="0036388E"/>
    <w:rsid w:val="00365011"/>
    <w:rsid w:val="0036575A"/>
    <w:rsid w:val="00365B55"/>
    <w:rsid w:val="00366E71"/>
    <w:rsid w:val="0037008B"/>
    <w:rsid w:val="00373E56"/>
    <w:rsid w:val="003754A7"/>
    <w:rsid w:val="003761C2"/>
    <w:rsid w:val="0037647E"/>
    <w:rsid w:val="00377747"/>
    <w:rsid w:val="003806C6"/>
    <w:rsid w:val="00382119"/>
    <w:rsid w:val="0038265D"/>
    <w:rsid w:val="00382F30"/>
    <w:rsid w:val="00383123"/>
    <w:rsid w:val="003852C7"/>
    <w:rsid w:val="00387619"/>
    <w:rsid w:val="00391E6A"/>
    <w:rsid w:val="003920D1"/>
    <w:rsid w:val="00392E7F"/>
    <w:rsid w:val="003935F0"/>
    <w:rsid w:val="003A2729"/>
    <w:rsid w:val="003A294C"/>
    <w:rsid w:val="003A4471"/>
    <w:rsid w:val="003A6933"/>
    <w:rsid w:val="003A6F31"/>
    <w:rsid w:val="003B1DCC"/>
    <w:rsid w:val="003B434C"/>
    <w:rsid w:val="003B4646"/>
    <w:rsid w:val="003B523B"/>
    <w:rsid w:val="003B61C4"/>
    <w:rsid w:val="003B7AAA"/>
    <w:rsid w:val="003B7CD0"/>
    <w:rsid w:val="003B7DB1"/>
    <w:rsid w:val="003C1C38"/>
    <w:rsid w:val="003C27D7"/>
    <w:rsid w:val="003C53D9"/>
    <w:rsid w:val="003C633A"/>
    <w:rsid w:val="003C6353"/>
    <w:rsid w:val="003D0264"/>
    <w:rsid w:val="003D05AA"/>
    <w:rsid w:val="003E101B"/>
    <w:rsid w:val="003E11D6"/>
    <w:rsid w:val="003E1B3E"/>
    <w:rsid w:val="003E1BBA"/>
    <w:rsid w:val="003E1EA4"/>
    <w:rsid w:val="003E2D05"/>
    <w:rsid w:val="003E4AF6"/>
    <w:rsid w:val="003E6541"/>
    <w:rsid w:val="003F518E"/>
    <w:rsid w:val="00402E8B"/>
    <w:rsid w:val="00403B11"/>
    <w:rsid w:val="00405B9E"/>
    <w:rsid w:val="0040752C"/>
    <w:rsid w:val="0041035E"/>
    <w:rsid w:val="00410A58"/>
    <w:rsid w:val="004117B5"/>
    <w:rsid w:val="00414868"/>
    <w:rsid w:val="0041491C"/>
    <w:rsid w:val="00414E87"/>
    <w:rsid w:val="0041610B"/>
    <w:rsid w:val="004206AF"/>
    <w:rsid w:val="004206C8"/>
    <w:rsid w:val="00421517"/>
    <w:rsid w:val="004252B8"/>
    <w:rsid w:val="00425E47"/>
    <w:rsid w:val="00427688"/>
    <w:rsid w:val="00427D0F"/>
    <w:rsid w:val="00431B7D"/>
    <w:rsid w:val="00434715"/>
    <w:rsid w:val="00437BBC"/>
    <w:rsid w:val="004408E1"/>
    <w:rsid w:val="0044136E"/>
    <w:rsid w:val="00441D4F"/>
    <w:rsid w:val="0044370C"/>
    <w:rsid w:val="00444833"/>
    <w:rsid w:val="004455B9"/>
    <w:rsid w:val="0044647E"/>
    <w:rsid w:val="0045134B"/>
    <w:rsid w:val="00454A10"/>
    <w:rsid w:val="00455DCD"/>
    <w:rsid w:val="004563C2"/>
    <w:rsid w:val="004567D2"/>
    <w:rsid w:val="004601C6"/>
    <w:rsid w:val="00461F94"/>
    <w:rsid w:val="00462AEF"/>
    <w:rsid w:val="0046556B"/>
    <w:rsid w:val="00467449"/>
    <w:rsid w:val="0047005D"/>
    <w:rsid w:val="00470A7D"/>
    <w:rsid w:val="0047385A"/>
    <w:rsid w:val="00473D05"/>
    <w:rsid w:val="0047510E"/>
    <w:rsid w:val="0047574F"/>
    <w:rsid w:val="00477962"/>
    <w:rsid w:val="00482E82"/>
    <w:rsid w:val="0048578A"/>
    <w:rsid w:val="00485AD9"/>
    <w:rsid w:val="00490A31"/>
    <w:rsid w:val="00492782"/>
    <w:rsid w:val="0049433D"/>
    <w:rsid w:val="00494B94"/>
    <w:rsid w:val="004966D8"/>
    <w:rsid w:val="00497603"/>
    <w:rsid w:val="004A248B"/>
    <w:rsid w:val="004A64F5"/>
    <w:rsid w:val="004A68BA"/>
    <w:rsid w:val="004A73F6"/>
    <w:rsid w:val="004B07A8"/>
    <w:rsid w:val="004B2320"/>
    <w:rsid w:val="004B5221"/>
    <w:rsid w:val="004B59D8"/>
    <w:rsid w:val="004B7473"/>
    <w:rsid w:val="004C1DDC"/>
    <w:rsid w:val="004C768A"/>
    <w:rsid w:val="004D13D4"/>
    <w:rsid w:val="004D14A2"/>
    <w:rsid w:val="004D2BB9"/>
    <w:rsid w:val="004D4F92"/>
    <w:rsid w:val="004E0381"/>
    <w:rsid w:val="004E18D1"/>
    <w:rsid w:val="004E5CAA"/>
    <w:rsid w:val="004F20D7"/>
    <w:rsid w:val="004F3238"/>
    <w:rsid w:val="004F4268"/>
    <w:rsid w:val="004F5A0D"/>
    <w:rsid w:val="004F602B"/>
    <w:rsid w:val="00500F0C"/>
    <w:rsid w:val="005063CA"/>
    <w:rsid w:val="0051255A"/>
    <w:rsid w:val="00514E71"/>
    <w:rsid w:val="005168F0"/>
    <w:rsid w:val="00521868"/>
    <w:rsid w:val="00522646"/>
    <w:rsid w:val="00522869"/>
    <w:rsid w:val="00523A2F"/>
    <w:rsid w:val="0052528F"/>
    <w:rsid w:val="0053036C"/>
    <w:rsid w:val="00530AE3"/>
    <w:rsid w:val="00531905"/>
    <w:rsid w:val="0054426D"/>
    <w:rsid w:val="00544805"/>
    <w:rsid w:val="00545D6A"/>
    <w:rsid w:val="00546067"/>
    <w:rsid w:val="005466E8"/>
    <w:rsid w:val="00551008"/>
    <w:rsid w:val="005546C6"/>
    <w:rsid w:val="00554962"/>
    <w:rsid w:val="00555EFC"/>
    <w:rsid w:val="00562D2E"/>
    <w:rsid w:val="005632F6"/>
    <w:rsid w:val="005637C1"/>
    <w:rsid w:val="00564246"/>
    <w:rsid w:val="0056425C"/>
    <w:rsid w:val="00567894"/>
    <w:rsid w:val="005710E8"/>
    <w:rsid w:val="005727B0"/>
    <w:rsid w:val="00575827"/>
    <w:rsid w:val="00575E97"/>
    <w:rsid w:val="005770DC"/>
    <w:rsid w:val="00577CBB"/>
    <w:rsid w:val="00585DE2"/>
    <w:rsid w:val="00587050"/>
    <w:rsid w:val="0058749A"/>
    <w:rsid w:val="00587ED9"/>
    <w:rsid w:val="005912D6"/>
    <w:rsid w:val="00591FE7"/>
    <w:rsid w:val="00594DDE"/>
    <w:rsid w:val="00595B33"/>
    <w:rsid w:val="00596341"/>
    <w:rsid w:val="005A22EC"/>
    <w:rsid w:val="005A2C0F"/>
    <w:rsid w:val="005A3F23"/>
    <w:rsid w:val="005B0448"/>
    <w:rsid w:val="005B1E54"/>
    <w:rsid w:val="005B64B8"/>
    <w:rsid w:val="005B7834"/>
    <w:rsid w:val="005B7E28"/>
    <w:rsid w:val="005C02FA"/>
    <w:rsid w:val="005C40E6"/>
    <w:rsid w:val="005C4302"/>
    <w:rsid w:val="005C597B"/>
    <w:rsid w:val="005C59BA"/>
    <w:rsid w:val="005C7FED"/>
    <w:rsid w:val="005D08FA"/>
    <w:rsid w:val="005D1622"/>
    <w:rsid w:val="005D1E75"/>
    <w:rsid w:val="005D483A"/>
    <w:rsid w:val="005E05D8"/>
    <w:rsid w:val="005E1235"/>
    <w:rsid w:val="005E4B37"/>
    <w:rsid w:val="005E506B"/>
    <w:rsid w:val="005E7033"/>
    <w:rsid w:val="005F07C1"/>
    <w:rsid w:val="005F119D"/>
    <w:rsid w:val="005F17C0"/>
    <w:rsid w:val="005F1F0E"/>
    <w:rsid w:val="005F3267"/>
    <w:rsid w:val="005F59AB"/>
    <w:rsid w:val="005F7336"/>
    <w:rsid w:val="0060124D"/>
    <w:rsid w:val="006033D2"/>
    <w:rsid w:val="0060344B"/>
    <w:rsid w:val="006043A7"/>
    <w:rsid w:val="00607BA8"/>
    <w:rsid w:val="006110B5"/>
    <w:rsid w:val="006140C9"/>
    <w:rsid w:val="0062374A"/>
    <w:rsid w:val="006238B6"/>
    <w:rsid w:val="006257CC"/>
    <w:rsid w:val="00625924"/>
    <w:rsid w:val="00625CF0"/>
    <w:rsid w:val="00626064"/>
    <w:rsid w:val="0062718A"/>
    <w:rsid w:val="00635B2A"/>
    <w:rsid w:val="00635DA5"/>
    <w:rsid w:val="00636FCF"/>
    <w:rsid w:val="00637225"/>
    <w:rsid w:val="00641134"/>
    <w:rsid w:val="006413A6"/>
    <w:rsid w:val="00642CBA"/>
    <w:rsid w:val="00642E8E"/>
    <w:rsid w:val="00643F98"/>
    <w:rsid w:val="00644EE3"/>
    <w:rsid w:val="006500BE"/>
    <w:rsid w:val="00654EE1"/>
    <w:rsid w:val="00657573"/>
    <w:rsid w:val="00663EA1"/>
    <w:rsid w:val="00664658"/>
    <w:rsid w:val="0066639A"/>
    <w:rsid w:val="00670D01"/>
    <w:rsid w:val="006734AB"/>
    <w:rsid w:val="006739D4"/>
    <w:rsid w:val="00674CAA"/>
    <w:rsid w:val="0068085C"/>
    <w:rsid w:val="00681E2E"/>
    <w:rsid w:val="00681F5A"/>
    <w:rsid w:val="00682AC8"/>
    <w:rsid w:val="00684FEB"/>
    <w:rsid w:val="00686379"/>
    <w:rsid w:val="00686CC4"/>
    <w:rsid w:val="00687898"/>
    <w:rsid w:val="00691FA9"/>
    <w:rsid w:val="006927EA"/>
    <w:rsid w:val="0069292F"/>
    <w:rsid w:val="00693079"/>
    <w:rsid w:val="0069389C"/>
    <w:rsid w:val="006956B5"/>
    <w:rsid w:val="006A09A2"/>
    <w:rsid w:val="006A3468"/>
    <w:rsid w:val="006A6235"/>
    <w:rsid w:val="006A6C3E"/>
    <w:rsid w:val="006B0296"/>
    <w:rsid w:val="006B3A55"/>
    <w:rsid w:val="006B3C15"/>
    <w:rsid w:val="006B598A"/>
    <w:rsid w:val="006B73D9"/>
    <w:rsid w:val="006B76C4"/>
    <w:rsid w:val="006C1373"/>
    <w:rsid w:val="006C2118"/>
    <w:rsid w:val="006C52F5"/>
    <w:rsid w:val="006C597B"/>
    <w:rsid w:val="006C6EB7"/>
    <w:rsid w:val="006D1DDD"/>
    <w:rsid w:val="006D2D92"/>
    <w:rsid w:val="006D40F3"/>
    <w:rsid w:val="006E0D1A"/>
    <w:rsid w:val="006E179C"/>
    <w:rsid w:val="006E2AD4"/>
    <w:rsid w:val="006E4FB7"/>
    <w:rsid w:val="006F0567"/>
    <w:rsid w:val="006F2D9C"/>
    <w:rsid w:val="006F30DA"/>
    <w:rsid w:val="006F50A9"/>
    <w:rsid w:val="006F76DC"/>
    <w:rsid w:val="00700781"/>
    <w:rsid w:val="00702273"/>
    <w:rsid w:val="007042E0"/>
    <w:rsid w:val="00705022"/>
    <w:rsid w:val="00705410"/>
    <w:rsid w:val="00705722"/>
    <w:rsid w:val="00707461"/>
    <w:rsid w:val="00707C4F"/>
    <w:rsid w:val="007133A5"/>
    <w:rsid w:val="00713BBF"/>
    <w:rsid w:val="007158F3"/>
    <w:rsid w:val="00720EC8"/>
    <w:rsid w:val="007225EC"/>
    <w:rsid w:val="007227CC"/>
    <w:rsid w:val="007267B4"/>
    <w:rsid w:val="00727AB9"/>
    <w:rsid w:val="00731D0C"/>
    <w:rsid w:val="00732B61"/>
    <w:rsid w:val="0073567E"/>
    <w:rsid w:val="00741895"/>
    <w:rsid w:val="00743A2D"/>
    <w:rsid w:val="0074451B"/>
    <w:rsid w:val="0074483A"/>
    <w:rsid w:val="007478F4"/>
    <w:rsid w:val="007504CC"/>
    <w:rsid w:val="00752711"/>
    <w:rsid w:val="00754658"/>
    <w:rsid w:val="00754FCE"/>
    <w:rsid w:val="007559FD"/>
    <w:rsid w:val="007561EF"/>
    <w:rsid w:val="0075753B"/>
    <w:rsid w:val="00757D5A"/>
    <w:rsid w:val="007635CF"/>
    <w:rsid w:val="00771D4A"/>
    <w:rsid w:val="00776CBE"/>
    <w:rsid w:val="00777A36"/>
    <w:rsid w:val="007819AD"/>
    <w:rsid w:val="007821B0"/>
    <w:rsid w:val="00782FCD"/>
    <w:rsid w:val="00783399"/>
    <w:rsid w:val="00784EB3"/>
    <w:rsid w:val="007867AA"/>
    <w:rsid w:val="00786C32"/>
    <w:rsid w:val="007875A3"/>
    <w:rsid w:val="007915C3"/>
    <w:rsid w:val="00791ACF"/>
    <w:rsid w:val="00792719"/>
    <w:rsid w:val="0079694E"/>
    <w:rsid w:val="00796C3C"/>
    <w:rsid w:val="0079713F"/>
    <w:rsid w:val="007A0B52"/>
    <w:rsid w:val="007A0FD8"/>
    <w:rsid w:val="007A486D"/>
    <w:rsid w:val="007B06EA"/>
    <w:rsid w:val="007B417B"/>
    <w:rsid w:val="007B4AC0"/>
    <w:rsid w:val="007B5304"/>
    <w:rsid w:val="007B56B8"/>
    <w:rsid w:val="007B6528"/>
    <w:rsid w:val="007B77C9"/>
    <w:rsid w:val="007C5704"/>
    <w:rsid w:val="007C78A9"/>
    <w:rsid w:val="007C7930"/>
    <w:rsid w:val="007D3C2E"/>
    <w:rsid w:val="007E1EE9"/>
    <w:rsid w:val="007E4EE9"/>
    <w:rsid w:val="007E74BC"/>
    <w:rsid w:val="007F2DED"/>
    <w:rsid w:val="007F2F4B"/>
    <w:rsid w:val="007F6366"/>
    <w:rsid w:val="00800691"/>
    <w:rsid w:val="00801451"/>
    <w:rsid w:val="00803827"/>
    <w:rsid w:val="008043C6"/>
    <w:rsid w:val="00804414"/>
    <w:rsid w:val="00805928"/>
    <w:rsid w:val="00806B6E"/>
    <w:rsid w:val="008107BD"/>
    <w:rsid w:val="00810F7A"/>
    <w:rsid w:val="00811D42"/>
    <w:rsid w:val="00813F7E"/>
    <w:rsid w:val="008158D1"/>
    <w:rsid w:val="00816EA9"/>
    <w:rsid w:val="00824CB1"/>
    <w:rsid w:val="00827038"/>
    <w:rsid w:val="0082781C"/>
    <w:rsid w:val="0083540C"/>
    <w:rsid w:val="00837839"/>
    <w:rsid w:val="0084041A"/>
    <w:rsid w:val="008448DC"/>
    <w:rsid w:val="008475A8"/>
    <w:rsid w:val="00850E06"/>
    <w:rsid w:val="00851E9E"/>
    <w:rsid w:val="00861863"/>
    <w:rsid w:val="00862278"/>
    <w:rsid w:val="00862D82"/>
    <w:rsid w:val="0086454F"/>
    <w:rsid w:val="00865667"/>
    <w:rsid w:val="008673F9"/>
    <w:rsid w:val="00870E5E"/>
    <w:rsid w:val="00872B06"/>
    <w:rsid w:val="008756BF"/>
    <w:rsid w:val="0087632D"/>
    <w:rsid w:val="00876F60"/>
    <w:rsid w:val="00886689"/>
    <w:rsid w:val="00887DE2"/>
    <w:rsid w:val="00891FE9"/>
    <w:rsid w:val="00895780"/>
    <w:rsid w:val="008960DD"/>
    <w:rsid w:val="00897A6C"/>
    <w:rsid w:val="008A41DD"/>
    <w:rsid w:val="008A461D"/>
    <w:rsid w:val="008A4E9C"/>
    <w:rsid w:val="008A50CC"/>
    <w:rsid w:val="008B14CA"/>
    <w:rsid w:val="008B1DB4"/>
    <w:rsid w:val="008B33C1"/>
    <w:rsid w:val="008B415E"/>
    <w:rsid w:val="008C0141"/>
    <w:rsid w:val="008C0561"/>
    <w:rsid w:val="008C0AD6"/>
    <w:rsid w:val="008C1884"/>
    <w:rsid w:val="008C57F6"/>
    <w:rsid w:val="008C735B"/>
    <w:rsid w:val="008D12A7"/>
    <w:rsid w:val="008D32E3"/>
    <w:rsid w:val="008D3BE1"/>
    <w:rsid w:val="008D48B3"/>
    <w:rsid w:val="008D51BB"/>
    <w:rsid w:val="008E0186"/>
    <w:rsid w:val="008E09C7"/>
    <w:rsid w:val="008E33EB"/>
    <w:rsid w:val="008E5109"/>
    <w:rsid w:val="008E7AC9"/>
    <w:rsid w:val="008F0C47"/>
    <w:rsid w:val="008F11B7"/>
    <w:rsid w:val="00900CA5"/>
    <w:rsid w:val="009017D9"/>
    <w:rsid w:val="00903B5C"/>
    <w:rsid w:val="0090591E"/>
    <w:rsid w:val="009111E0"/>
    <w:rsid w:val="009111ED"/>
    <w:rsid w:val="0091273E"/>
    <w:rsid w:val="00912EEA"/>
    <w:rsid w:val="00917CAA"/>
    <w:rsid w:val="009203D8"/>
    <w:rsid w:val="00935DF9"/>
    <w:rsid w:val="009403BC"/>
    <w:rsid w:val="00941D75"/>
    <w:rsid w:val="00942D31"/>
    <w:rsid w:val="0094543C"/>
    <w:rsid w:val="0095101A"/>
    <w:rsid w:val="0095134E"/>
    <w:rsid w:val="0095289C"/>
    <w:rsid w:val="00953E90"/>
    <w:rsid w:val="00954DA0"/>
    <w:rsid w:val="00956AAF"/>
    <w:rsid w:val="009612D3"/>
    <w:rsid w:val="00962872"/>
    <w:rsid w:val="00963698"/>
    <w:rsid w:val="00965071"/>
    <w:rsid w:val="0096619E"/>
    <w:rsid w:val="0097246D"/>
    <w:rsid w:val="0097266A"/>
    <w:rsid w:val="0097342D"/>
    <w:rsid w:val="00974896"/>
    <w:rsid w:val="0097573E"/>
    <w:rsid w:val="0097690B"/>
    <w:rsid w:val="00976C51"/>
    <w:rsid w:val="009779EC"/>
    <w:rsid w:val="009820E8"/>
    <w:rsid w:val="00982E35"/>
    <w:rsid w:val="009830D4"/>
    <w:rsid w:val="009842B6"/>
    <w:rsid w:val="00984E45"/>
    <w:rsid w:val="00986263"/>
    <w:rsid w:val="009869A5"/>
    <w:rsid w:val="00987453"/>
    <w:rsid w:val="009915A3"/>
    <w:rsid w:val="009924B3"/>
    <w:rsid w:val="009949FC"/>
    <w:rsid w:val="009A02E0"/>
    <w:rsid w:val="009A0BEB"/>
    <w:rsid w:val="009A15B8"/>
    <w:rsid w:val="009A3407"/>
    <w:rsid w:val="009A4088"/>
    <w:rsid w:val="009A7C2F"/>
    <w:rsid w:val="009B2DE9"/>
    <w:rsid w:val="009B357D"/>
    <w:rsid w:val="009B56CF"/>
    <w:rsid w:val="009B57D6"/>
    <w:rsid w:val="009B59D7"/>
    <w:rsid w:val="009B6DF1"/>
    <w:rsid w:val="009C1B44"/>
    <w:rsid w:val="009C20CC"/>
    <w:rsid w:val="009C2848"/>
    <w:rsid w:val="009C36CF"/>
    <w:rsid w:val="009C6653"/>
    <w:rsid w:val="009C704C"/>
    <w:rsid w:val="009C791E"/>
    <w:rsid w:val="009D0C73"/>
    <w:rsid w:val="009D1D9A"/>
    <w:rsid w:val="009D4013"/>
    <w:rsid w:val="009D7FD4"/>
    <w:rsid w:val="009E0600"/>
    <w:rsid w:val="009E2067"/>
    <w:rsid w:val="009E22BA"/>
    <w:rsid w:val="009E41B2"/>
    <w:rsid w:val="009E4B13"/>
    <w:rsid w:val="009E51C5"/>
    <w:rsid w:val="009E5A29"/>
    <w:rsid w:val="009E5D0A"/>
    <w:rsid w:val="009E62AF"/>
    <w:rsid w:val="009F1B42"/>
    <w:rsid w:val="009F2A2F"/>
    <w:rsid w:val="009F2C0A"/>
    <w:rsid w:val="00A00AED"/>
    <w:rsid w:val="00A01D28"/>
    <w:rsid w:val="00A02499"/>
    <w:rsid w:val="00A02F5A"/>
    <w:rsid w:val="00A05230"/>
    <w:rsid w:val="00A05C22"/>
    <w:rsid w:val="00A0635C"/>
    <w:rsid w:val="00A0676B"/>
    <w:rsid w:val="00A06A9D"/>
    <w:rsid w:val="00A16E91"/>
    <w:rsid w:val="00A17C56"/>
    <w:rsid w:val="00A20B49"/>
    <w:rsid w:val="00A21B9B"/>
    <w:rsid w:val="00A22C85"/>
    <w:rsid w:val="00A258F0"/>
    <w:rsid w:val="00A25DD0"/>
    <w:rsid w:val="00A268DE"/>
    <w:rsid w:val="00A27CFD"/>
    <w:rsid w:val="00A30ADA"/>
    <w:rsid w:val="00A30CDD"/>
    <w:rsid w:val="00A32C56"/>
    <w:rsid w:val="00A3567B"/>
    <w:rsid w:val="00A358B8"/>
    <w:rsid w:val="00A365AB"/>
    <w:rsid w:val="00A379F9"/>
    <w:rsid w:val="00A45987"/>
    <w:rsid w:val="00A4603B"/>
    <w:rsid w:val="00A476BA"/>
    <w:rsid w:val="00A50E03"/>
    <w:rsid w:val="00A563E0"/>
    <w:rsid w:val="00A56892"/>
    <w:rsid w:val="00A56E5B"/>
    <w:rsid w:val="00A64486"/>
    <w:rsid w:val="00A655FE"/>
    <w:rsid w:val="00A73999"/>
    <w:rsid w:val="00A740EF"/>
    <w:rsid w:val="00A76671"/>
    <w:rsid w:val="00A83784"/>
    <w:rsid w:val="00A85849"/>
    <w:rsid w:val="00A90F90"/>
    <w:rsid w:val="00A91427"/>
    <w:rsid w:val="00A93EED"/>
    <w:rsid w:val="00A9547A"/>
    <w:rsid w:val="00A96731"/>
    <w:rsid w:val="00A96C59"/>
    <w:rsid w:val="00AA0323"/>
    <w:rsid w:val="00AA1711"/>
    <w:rsid w:val="00AA53AA"/>
    <w:rsid w:val="00AA6123"/>
    <w:rsid w:val="00AA6203"/>
    <w:rsid w:val="00AA6662"/>
    <w:rsid w:val="00AA73ED"/>
    <w:rsid w:val="00AB3E52"/>
    <w:rsid w:val="00AB4C78"/>
    <w:rsid w:val="00AC37A6"/>
    <w:rsid w:val="00AC603A"/>
    <w:rsid w:val="00AC6A97"/>
    <w:rsid w:val="00AC700F"/>
    <w:rsid w:val="00AD0659"/>
    <w:rsid w:val="00AD0944"/>
    <w:rsid w:val="00AD10A2"/>
    <w:rsid w:val="00AD2356"/>
    <w:rsid w:val="00AD2E28"/>
    <w:rsid w:val="00AD3290"/>
    <w:rsid w:val="00AF087C"/>
    <w:rsid w:val="00AF089D"/>
    <w:rsid w:val="00AF1A17"/>
    <w:rsid w:val="00AF299E"/>
    <w:rsid w:val="00AF5A5F"/>
    <w:rsid w:val="00AF6DFE"/>
    <w:rsid w:val="00AF74B0"/>
    <w:rsid w:val="00B01605"/>
    <w:rsid w:val="00B0179C"/>
    <w:rsid w:val="00B02785"/>
    <w:rsid w:val="00B06091"/>
    <w:rsid w:val="00B104C0"/>
    <w:rsid w:val="00B12FC3"/>
    <w:rsid w:val="00B13096"/>
    <w:rsid w:val="00B158CE"/>
    <w:rsid w:val="00B15C58"/>
    <w:rsid w:val="00B15CD8"/>
    <w:rsid w:val="00B17329"/>
    <w:rsid w:val="00B22392"/>
    <w:rsid w:val="00B237A3"/>
    <w:rsid w:val="00B25481"/>
    <w:rsid w:val="00B2749F"/>
    <w:rsid w:val="00B277A6"/>
    <w:rsid w:val="00B33209"/>
    <w:rsid w:val="00B33383"/>
    <w:rsid w:val="00B372F2"/>
    <w:rsid w:val="00B41A56"/>
    <w:rsid w:val="00B42A45"/>
    <w:rsid w:val="00B440A5"/>
    <w:rsid w:val="00B46ACF"/>
    <w:rsid w:val="00B51A86"/>
    <w:rsid w:val="00B51E9A"/>
    <w:rsid w:val="00B525E1"/>
    <w:rsid w:val="00B53EEA"/>
    <w:rsid w:val="00B55821"/>
    <w:rsid w:val="00B608F6"/>
    <w:rsid w:val="00B60ED3"/>
    <w:rsid w:val="00B63617"/>
    <w:rsid w:val="00B64DB5"/>
    <w:rsid w:val="00B65D78"/>
    <w:rsid w:val="00B70ED9"/>
    <w:rsid w:val="00B72B03"/>
    <w:rsid w:val="00B75AA4"/>
    <w:rsid w:val="00B81017"/>
    <w:rsid w:val="00B8533C"/>
    <w:rsid w:val="00B866F8"/>
    <w:rsid w:val="00B877CD"/>
    <w:rsid w:val="00B87ECF"/>
    <w:rsid w:val="00B90512"/>
    <w:rsid w:val="00B93A70"/>
    <w:rsid w:val="00BA721F"/>
    <w:rsid w:val="00BA74CE"/>
    <w:rsid w:val="00BA7C40"/>
    <w:rsid w:val="00BB0BD8"/>
    <w:rsid w:val="00BB4832"/>
    <w:rsid w:val="00BB59DD"/>
    <w:rsid w:val="00BC2F2E"/>
    <w:rsid w:val="00BC58E3"/>
    <w:rsid w:val="00BC5A6B"/>
    <w:rsid w:val="00BD0275"/>
    <w:rsid w:val="00BD6AA8"/>
    <w:rsid w:val="00BE2F77"/>
    <w:rsid w:val="00BE3410"/>
    <w:rsid w:val="00BE343E"/>
    <w:rsid w:val="00BE3C10"/>
    <w:rsid w:val="00BE47A3"/>
    <w:rsid w:val="00BF2154"/>
    <w:rsid w:val="00BF3D17"/>
    <w:rsid w:val="00BF629C"/>
    <w:rsid w:val="00C00657"/>
    <w:rsid w:val="00C01AB8"/>
    <w:rsid w:val="00C03B17"/>
    <w:rsid w:val="00C03C2A"/>
    <w:rsid w:val="00C05615"/>
    <w:rsid w:val="00C05D91"/>
    <w:rsid w:val="00C06FF7"/>
    <w:rsid w:val="00C1181D"/>
    <w:rsid w:val="00C13280"/>
    <w:rsid w:val="00C13D89"/>
    <w:rsid w:val="00C13E32"/>
    <w:rsid w:val="00C14D3F"/>
    <w:rsid w:val="00C14FDD"/>
    <w:rsid w:val="00C17AE7"/>
    <w:rsid w:val="00C27657"/>
    <w:rsid w:val="00C30183"/>
    <w:rsid w:val="00C31243"/>
    <w:rsid w:val="00C3300C"/>
    <w:rsid w:val="00C33029"/>
    <w:rsid w:val="00C338EA"/>
    <w:rsid w:val="00C33B85"/>
    <w:rsid w:val="00C35C45"/>
    <w:rsid w:val="00C36814"/>
    <w:rsid w:val="00C37795"/>
    <w:rsid w:val="00C40539"/>
    <w:rsid w:val="00C4214E"/>
    <w:rsid w:val="00C4283D"/>
    <w:rsid w:val="00C50284"/>
    <w:rsid w:val="00C525BF"/>
    <w:rsid w:val="00C550F8"/>
    <w:rsid w:val="00C560C2"/>
    <w:rsid w:val="00C57ABB"/>
    <w:rsid w:val="00C57B3C"/>
    <w:rsid w:val="00C60E30"/>
    <w:rsid w:val="00C62140"/>
    <w:rsid w:val="00C63682"/>
    <w:rsid w:val="00C64864"/>
    <w:rsid w:val="00C67EB8"/>
    <w:rsid w:val="00C70622"/>
    <w:rsid w:val="00C70ECB"/>
    <w:rsid w:val="00C718E8"/>
    <w:rsid w:val="00C726F9"/>
    <w:rsid w:val="00C738CA"/>
    <w:rsid w:val="00C766F3"/>
    <w:rsid w:val="00C806C1"/>
    <w:rsid w:val="00C84EAD"/>
    <w:rsid w:val="00C878E4"/>
    <w:rsid w:val="00C91323"/>
    <w:rsid w:val="00CA006F"/>
    <w:rsid w:val="00CA11AC"/>
    <w:rsid w:val="00CA408B"/>
    <w:rsid w:val="00CA66DB"/>
    <w:rsid w:val="00CA7BDA"/>
    <w:rsid w:val="00CB5812"/>
    <w:rsid w:val="00CB5DE3"/>
    <w:rsid w:val="00CB7350"/>
    <w:rsid w:val="00CC1BA9"/>
    <w:rsid w:val="00CC2E77"/>
    <w:rsid w:val="00CC38B9"/>
    <w:rsid w:val="00CC4F7C"/>
    <w:rsid w:val="00CD01C2"/>
    <w:rsid w:val="00CD1574"/>
    <w:rsid w:val="00CD4AF4"/>
    <w:rsid w:val="00CD6B55"/>
    <w:rsid w:val="00CD7D5D"/>
    <w:rsid w:val="00CE5822"/>
    <w:rsid w:val="00CE692D"/>
    <w:rsid w:val="00CE7920"/>
    <w:rsid w:val="00CF160B"/>
    <w:rsid w:val="00CF24E9"/>
    <w:rsid w:val="00CF7DB9"/>
    <w:rsid w:val="00D00F17"/>
    <w:rsid w:val="00D04118"/>
    <w:rsid w:val="00D049C9"/>
    <w:rsid w:val="00D0589C"/>
    <w:rsid w:val="00D05C8D"/>
    <w:rsid w:val="00D06D3D"/>
    <w:rsid w:val="00D116D6"/>
    <w:rsid w:val="00D1352E"/>
    <w:rsid w:val="00D14EE3"/>
    <w:rsid w:val="00D16FDD"/>
    <w:rsid w:val="00D20A9B"/>
    <w:rsid w:val="00D2277C"/>
    <w:rsid w:val="00D23145"/>
    <w:rsid w:val="00D23E26"/>
    <w:rsid w:val="00D251C2"/>
    <w:rsid w:val="00D25474"/>
    <w:rsid w:val="00D312CB"/>
    <w:rsid w:val="00D316DA"/>
    <w:rsid w:val="00D31C2A"/>
    <w:rsid w:val="00D322AB"/>
    <w:rsid w:val="00D32F51"/>
    <w:rsid w:val="00D33D78"/>
    <w:rsid w:val="00D35813"/>
    <w:rsid w:val="00D3679E"/>
    <w:rsid w:val="00D37062"/>
    <w:rsid w:val="00D403BF"/>
    <w:rsid w:val="00D40784"/>
    <w:rsid w:val="00D524B7"/>
    <w:rsid w:val="00D54CB4"/>
    <w:rsid w:val="00D5567F"/>
    <w:rsid w:val="00D577BA"/>
    <w:rsid w:val="00D64B06"/>
    <w:rsid w:val="00D72695"/>
    <w:rsid w:val="00D752CA"/>
    <w:rsid w:val="00D758AE"/>
    <w:rsid w:val="00D85CA5"/>
    <w:rsid w:val="00D87869"/>
    <w:rsid w:val="00D92367"/>
    <w:rsid w:val="00D9283C"/>
    <w:rsid w:val="00D9320A"/>
    <w:rsid w:val="00D94C4D"/>
    <w:rsid w:val="00D95B09"/>
    <w:rsid w:val="00D9651F"/>
    <w:rsid w:val="00D9711D"/>
    <w:rsid w:val="00DA335E"/>
    <w:rsid w:val="00DA49FE"/>
    <w:rsid w:val="00DA554F"/>
    <w:rsid w:val="00DA6B2E"/>
    <w:rsid w:val="00DA6D9B"/>
    <w:rsid w:val="00DA7947"/>
    <w:rsid w:val="00DB406A"/>
    <w:rsid w:val="00DB6243"/>
    <w:rsid w:val="00DB7159"/>
    <w:rsid w:val="00DB7AA0"/>
    <w:rsid w:val="00DB7AF5"/>
    <w:rsid w:val="00DC0003"/>
    <w:rsid w:val="00DC3789"/>
    <w:rsid w:val="00DC58D1"/>
    <w:rsid w:val="00DC79E1"/>
    <w:rsid w:val="00DD46CE"/>
    <w:rsid w:val="00DD51CA"/>
    <w:rsid w:val="00DD5D3C"/>
    <w:rsid w:val="00DD6B55"/>
    <w:rsid w:val="00DE0567"/>
    <w:rsid w:val="00DE1816"/>
    <w:rsid w:val="00DE24B7"/>
    <w:rsid w:val="00DE3AC8"/>
    <w:rsid w:val="00DE4C84"/>
    <w:rsid w:val="00DE4E5A"/>
    <w:rsid w:val="00DE6616"/>
    <w:rsid w:val="00DF04DD"/>
    <w:rsid w:val="00DF439E"/>
    <w:rsid w:val="00DF5141"/>
    <w:rsid w:val="00E1228A"/>
    <w:rsid w:val="00E143E2"/>
    <w:rsid w:val="00E15510"/>
    <w:rsid w:val="00E17AE1"/>
    <w:rsid w:val="00E232D7"/>
    <w:rsid w:val="00E257BA"/>
    <w:rsid w:val="00E30058"/>
    <w:rsid w:val="00E306F6"/>
    <w:rsid w:val="00E31F75"/>
    <w:rsid w:val="00E34307"/>
    <w:rsid w:val="00E36C6E"/>
    <w:rsid w:val="00E43441"/>
    <w:rsid w:val="00E44770"/>
    <w:rsid w:val="00E47EC0"/>
    <w:rsid w:val="00E52C62"/>
    <w:rsid w:val="00E54360"/>
    <w:rsid w:val="00E5442E"/>
    <w:rsid w:val="00E54843"/>
    <w:rsid w:val="00E55175"/>
    <w:rsid w:val="00E55E8D"/>
    <w:rsid w:val="00E610D8"/>
    <w:rsid w:val="00E61C7F"/>
    <w:rsid w:val="00E73662"/>
    <w:rsid w:val="00E7376C"/>
    <w:rsid w:val="00E738A4"/>
    <w:rsid w:val="00E752E8"/>
    <w:rsid w:val="00E75CE8"/>
    <w:rsid w:val="00E7625A"/>
    <w:rsid w:val="00E77123"/>
    <w:rsid w:val="00E823A4"/>
    <w:rsid w:val="00E82BB3"/>
    <w:rsid w:val="00E844B1"/>
    <w:rsid w:val="00E86B83"/>
    <w:rsid w:val="00E87A3D"/>
    <w:rsid w:val="00E87AF9"/>
    <w:rsid w:val="00E94101"/>
    <w:rsid w:val="00E961D0"/>
    <w:rsid w:val="00EA225D"/>
    <w:rsid w:val="00EA3876"/>
    <w:rsid w:val="00EA4404"/>
    <w:rsid w:val="00EA5149"/>
    <w:rsid w:val="00EA58DD"/>
    <w:rsid w:val="00EA67DA"/>
    <w:rsid w:val="00EA70E6"/>
    <w:rsid w:val="00EA75D9"/>
    <w:rsid w:val="00EB0F8F"/>
    <w:rsid w:val="00EB354D"/>
    <w:rsid w:val="00EB47D7"/>
    <w:rsid w:val="00EB6DFC"/>
    <w:rsid w:val="00EB7A9C"/>
    <w:rsid w:val="00EC1D5A"/>
    <w:rsid w:val="00EC220D"/>
    <w:rsid w:val="00EC2A1B"/>
    <w:rsid w:val="00EC71EF"/>
    <w:rsid w:val="00EC7D35"/>
    <w:rsid w:val="00ED0318"/>
    <w:rsid w:val="00ED0BC7"/>
    <w:rsid w:val="00ED3471"/>
    <w:rsid w:val="00ED4F4B"/>
    <w:rsid w:val="00ED5083"/>
    <w:rsid w:val="00EE0404"/>
    <w:rsid w:val="00EE041F"/>
    <w:rsid w:val="00EF4320"/>
    <w:rsid w:val="00EF43E5"/>
    <w:rsid w:val="00EF477F"/>
    <w:rsid w:val="00EF4918"/>
    <w:rsid w:val="00EF6C0A"/>
    <w:rsid w:val="00EF6E14"/>
    <w:rsid w:val="00EF7FD6"/>
    <w:rsid w:val="00F007AB"/>
    <w:rsid w:val="00F02CE0"/>
    <w:rsid w:val="00F0525D"/>
    <w:rsid w:val="00F06700"/>
    <w:rsid w:val="00F06D7D"/>
    <w:rsid w:val="00F15994"/>
    <w:rsid w:val="00F15BAF"/>
    <w:rsid w:val="00F15C86"/>
    <w:rsid w:val="00F16AB9"/>
    <w:rsid w:val="00F22872"/>
    <w:rsid w:val="00F23B24"/>
    <w:rsid w:val="00F275D8"/>
    <w:rsid w:val="00F27B37"/>
    <w:rsid w:val="00F27CCC"/>
    <w:rsid w:val="00F32597"/>
    <w:rsid w:val="00F33A08"/>
    <w:rsid w:val="00F34618"/>
    <w:rsid w:val="00F374E5"/>
    <w:rsid w:val="00F37C83"/>
    <w:rsid w:val="00F43629"/>
    <w:rsid w:val="00F43D57"/>
    <w:rsid w:val="00F43FC8"/>
    <w:rsid w:val="00F45BC8"/>
    <w:rsid w:val="00F46E2E"/>
    <w:rsid w:val="00F470E9"/>
    <w:rsid w:val="00F527A0"/>
    <w:rsid w:val="00F52F15"/>
    <w:rsid w:val="00F555C1"/>
    <w:rsid w:val="00F602C4"/>
    <w:rsid w:val="00F61CFC"/>
    <w:rsid w:val="00F61F32"/>
    <w:rsid w:val="00F63ADF"/>
    <w:rsid w:val="00F65E03"/>
    <w:rsid w:val="00F66E97"/>
    <w:rsid w:val="00F703DF"/>
    <w:rsid w:val="00F70FA7"/>
    <w:rsid w:val="00F82988"/>
    <w:rsid w:val="00F833F2"/>
    <w:rsid w:val="00F85FEA"/>
    <w:rsid w:val="00F87CA1"/>
    <w:rsid w:val="00F91306"/>
    <w:rsid w:val="00F91E96"/>
    <w:rsid w:val="00F93EC4"/>
    <w:rsid w:val="00F94735"/>
    <w:rsid w:val="00F94944"/>
    <w:rsid w:val="00F94CA4"/>
    <w:rsid w:val="00F960C4"/>
    <w:rsid w:val="00F96E4A"/>
    <w:rsid w:val="00FA11B1"/>
    <w:rsid w:val="00FA30EC"/>
    <w:rsid w:val="00FA4B33"/>
    <w:rsid w:val="00FA6F18"/>
    <w:rsid w:val="00FB0E19"/>
    <w:rsid w:val="00FB16FB"/>
    <w:rsid w:val="00FB2573"/>
    <w:rsid w:val="00FB37AA"/>
    <w:rsid w:val="00FB7F89"/>
    <w:rsid w:val="00FC2C6C"/>
    <w:rsid w:val="00FC3AAD"/>
    <w:rsid w:val="00FC4CA4"/>
    <w:rsid w:val="00FD3CBE"/>
    <w:rsid w:val="00FD7D27"/>
    <w:rsid w:val="00FE424F"/>
    <w:rsid w:val="00FE4E27"/>
    <w:rsid w:val="00FE5E40"/>
    <w:rsid w:val="00FE6BEA"/>
    <w:rsid w:val="00FF08BF"/>
    <w:rsid w:val="00FF1198"/>
    <w:rsid w:val="00FF4174"/>
    <w:rsid w:val="00FF7B6A"/>
    <w:rsid w:val="03460CD9"/>
    <w:rsid w:val="06E75409"/>
    <w:rsid w:val="073B51B7"/>
    <w:rsid w:val="0797103D"/>
    <w:rsid w:val="0B3704B4"/>
    <w:rsid w:val="0C7327EB"/>
    <w:rsid w:val="0C8063E7"/>
    <w:rsid w:val="0C9F7A36"/>
    <w:rsid w:val="0CAC517A"/>
    <w:rsid w:val="0CE972B8"/>
    <w:rsid w:val="0DB03D55"/>
    <w:rsid w:val="0EB86E27"/>
    <w:rsid w:val="10F93F06"/>
    <w:rsid w:val="1450231E"/>
    <w:rsid w:val="15B80698"/>
    <w:rsid w:val="172F2F59"/>
    <w:rsid w:val="17534CEC"/>
    <w:rsid w:val="179D1EDB"/>
    <w:rsid w:val="1A9637AF"/>
    <w:rsid w:val="1BDE13C1"/>
    <w:rsid w:val="1CE47554"/>
    <w:rsid w:val="1CF90154"/>
    <w:rsid w:val="208D2895"/>
    <w:rsid w:val="220B6B38"/>
    <w:rsid w:val="25C82A4C"/>
    <w:rsid w:val="27DD2B84"/>
    <w:rsid w:val="29C23C24"/>
    <w:rsid w:val="2C9456EE"/>
    <w:rsid w:val="2D00084B"/>
    <w:rsid w:val="2DA26642"/>
    <w:rsid w:val="2F172B1B"/>
    <w:rsid w:val="2F817BE3"/>
    <w:rsid w:val="325E2F6A"/>
    <w:rsid w:val="33375694"/>
    <w:rsid w:val="339802E0"/>
    <w:rsid w:val="342A6B27"/>
    <w:rsid w:val="355F3466"/>
    <w:rsid w:val="36232246"/>
    <w:rsid w:val="37FF69FD"/>
    <w:rsid w:val="384D221C"/>
    <w:rsid w:val="388131BD"/>
    <w:rsid w:val="394D4F22"/>
    <w:rsid w:val="3A541FF7"/>
    <w:rsid w:val="3AE85EBF"/>
    <w:rsid w:val="3B231DB6"/>
    <w:rsid w:val="3C6B5B77"/>
    <w:rsid w:val="3DD07A46"/>
    <w:rsid w:val="41C77FE8"/>
    <w:rsid w:val="44122E34"/>
    <w:rsid w:val="45EC4713"/>
    <w:rsid w:val="45F762BD"/>
    <w:rsid w:val="4AB560CE"/>
    <w:rsid w:val="4DED3CD5"/>
    <w:rsid w:val="4E080B51"/>
    <w:rsid w:val="4F7C6051"/>
    <w:rsid w:val="50CB1798"/>
    <w:rsid w:val="513D70DA"/>
    <w:rsid w:val="51D71EED"/>
    <w:rsid w:val="52634A96"/>
    <w:rsid w:val="538E2D0B"/>
    <w:rsid w:val="598072CA"/>
    <w:rsid w:val="5CB069F1"/>
    <w:rsid w:val="5D8B6D68"/>
    <w:rsid w:val="5E465936"/>
    <w:rsid w:val="5EBC12FA"/>
    <w:rsid w:val="5F961379"/>
    <w:rsid w:val="5FCF4E6E"/>
    <w:rsid w:val="603A41BB"/>
    <w:rsid w:val="612F3F66"/>
    <w:rsid w:val="66DE0B02"/>
    <w:rsid w:val="679F325F"/>
    <w:rsid w:val="6A475D4D"/>
    <w:rsid w:val="6AEF312F"/>
    <w:rsid w:val="6BB67446"/>
    <w:rsid w:val="6ED274D6"/>
    <w:rsid w:val="6EE72672"/>
    <w:rsid w:val="715603A1"/>
    <w:rsid w:val="719A4CC7"/>
    <w:rsid w:val="72AE00E5"/>
    <w:rsid w:val="72E8428C"/>
    <w:rsid w:val="74180B9A"/>
    <w:rsid w:val="75BD6C28"/>
    <w:rsid w:val="75E8386D"/>
    <w:rsid w:val="767A4544"/>
    <w:rsid w:val="77B0779C"/>
    <w:rsid w:val="780E5898"/>
    <w:rsid w:val="787248B0"/>
    <w:rsid w:val="79B32B63"/>
    <w:rsid w:val="7A0D7DD8"/>
    <w:rsid w:val="7AA52375"/>
    <w:rsid w:val="7C60038E"/>
    <w:rsid w:val="7F6762BE"/>
    <w:rsid w:val="7FF708F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name="Default Paragraph Font"/>
    <w:lsdException w:qFormat="1" w:unhideWhenUsed="0" w:uiPriority="0" w:semiHidden="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qFormat="1" w:unhideWhenUsed="0" w:uiPriority="0" w:semiHidden="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0" w:semiHidden="0" w:name="Hyperlink"/>
    <w:lsdException w:uiPriority="0" w:name="FollowedHyperlink"/>
    <w:lsdException w:qFormat="1" w:unhideWhenUsed="0" w:uiPriority="22"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pPr>
    <w:rPr>
      <w:rFonts w:ascii="Times New Roman" w:hAnsi="Times New Roman" w:eastAsia="宋体" w:cs="Times New Roman"/>
      <w:sz w:val="24"/>
      <w:szCs w:val="24"/>
      <w:lang w:val="en-US" w:eastAsia="en-US"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12">
    <w:name w:val="Default Paragraph Font"/>
    <w:semiHidden/>
    <w:unhideWhenUsed/>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3">
    <w:name w:val="Body Text"/>
    <w:basedOn w:val="1"/>
    <w:next w:val="4"/>
    <w:qFormat/>
    <w:uiPriority w:val="0"/>
    <w:pPr>
      <w:spacing w:after="120"/>
    </w:pPr>
  </w:style>
  <w:style w:type="paragraph" w:styleId="4">
    <w:name w:val="Title"/>
    <w:basedOn w:val="1"/>
    <w:next w:val="1"/>
    <w:qFormat/>
    <w:uiPriority w:val="10"/>
    <w:pPr>
      <w:spacing w:before="240" w:after="60"/>
      <w:jc w:val="center"/>
      <w:outlineLvl w:val="0"/>
    </w:pPr>
    <w:rPr>
      <w:rFonts w:asciiTheme="majorHAnsi" w:hAnsiTheme="majorHAnsi" w:eastAsiaTheme="majorEastAsia" w:cstheme="majorBidi"/>
      <w:b/>
      <w:bCs/>
      <w:sz w:val="32"/>
      <w:szCs w:val="32"/>
    </w:rPr>
  </w:style>
  <w:style w:type="paragraph" w:styleId="5">
    <w:name w:val="Date"/>
    <w:basedOn w:val="1"/>
    <w:next w:val="1"/>
    <w:link w:val="23"/>
    <w:qFormat/>
    <w:uiPriority w:val="0"/>
    <w:pPr>
      <w:ind w:left="100" w:leftChars="2500"/>
    </w:pPr>
  </w:style>
  <w:style w:type="paragraph" w:styleId="6">
    <w:name w:val="Balloon Text"/>
    <w:basedOn w:val="1"/>
    <w:link w:val="26"/>
    <w:qFormat/>
    <w:uiPriority w:val="0"/>
    <w:rPr>
      <w:sz w:val="18"/>
      <w:szCs w:val="18"/>
    </w:rPr>
  </w:style>
  <w:style w:type="paragraph" w:styleId="7">
    <w:name w:val="footer"/>
    <w:basedOn w:val="1"/>
    <w:qFormat/>
    <w:uiPriority w:val="0"/>
    <w:pPr>
      <w:tabs>
        <w:tab w:val="center" w:pos="4153"/>
        <w:tab w:val="right" w:pos="8306"/>
      </w:tabs>
      <w:snapToGrid w:val="0"/>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jc w:val="both"/>
    </w:pPr>
    <w:rPr>
      <w:sz w:val="18"/>
    </w:rPr>
  </w:style>
  <w:style w:type="paragraph" w:styleId="9">
    <w:name w:val="Normal (Web)"/>
    <w:basedOn w:val="1"/>
    <w:qFormat/>
    <w:uiPriority w:val="99"/>
  </w:style>
  <w:style w:type="table" w:styleId="11">
    <w:name w:val="Table Grid"/>
    <w:basedOn w:val="10"/>
    <w:qFormat/>
    <w:uiPriority w:val="0"/>
    <w:rPr>
      <w:rFonts w:hint="eastAsia" w:ascii="宋体" w:cs="宋体"/>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cPr>
      <w:tcBorders>
        <w:top w:val="single" w:color="000000" w:sz="4" w:space="0"/>
        <w:left w:val="single" w:color="000000" w:sz="4" w:space="0"/>
        <w:bottom w:val="single" w:color="000000" w:sz="4" w:space="0"/>
        <w:right w:val="single" w:color="000000" w:sz="4" w:space="0"/>
      </w:tcBorders>
    </w:tcPr>
  </w:style>
  <w:style w:type="character" w:styleId="13">
    <w:name w:val="Strong"/>
    <w:basedOn w:val="12"/>
    <w:qFormat/>
    <w:uiPriority w:val="22"/>
    <w:rPr>
      <w:b/>
      <w:bCs/>
    </w:rPr>
  </w:style>
  <w:style w:type="character" w:styleId="14">
    <w:name w:val="Hyperlink"/>
    <w:basedOn w:val="12"/>
    <w:unhideWhenUsed/>
    <w:qFormat/>
    <w:uiPriority w:val="0"/>
    <w:rPr>
      <w:color w:val="0563C1" w:themeColor="hyperlink"/>
      <w:u w:val="single"/>
    </w:rPr>
  </w:style>
  <w:style w:type="character" w:styleId="15">
    <w:name w:val="footnote reference"/>
    <w:semiHidden/>
    <w:qFormat/>
    <w:uiPriority w:val="0"/>
    <w:rPr>
      <w:vertAlign w:val="superscript"/>
    </w:rPr>
  </w:style>
  <w:style w:type="paragraph" w:customStyle="1" w:styleId="16">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17">
    <w:name w:val="二级无"/>
    <w:basedOn w:val="18"/>
    <w:qFormat/>
    <w:uiPriority w:val="0"/>
    <w:pPr>
      <w:spacing w:beforeLines="0" w:afterLines="0"/>
    </w:pPr>
    <w:rPr>
      <w:rFonts w:ascii="宋体" w:eastAsia="宋体"/>
    </w:rPr>
  </w:style>
  <w:style w:type="paragraph" w:customStyle="1" w:styleId="18">
    <w:name w:val="二级条标题"/>
    <w:basedOn w:val="19"/>
    <w:next w:val="16"/>
    <w:qFormat/>
    <w:uiPriority w:val="0"/>
    <w:pPr>
      <w:numPr>
        <w:ilvl w:val="2"/>
      </w:numPr>
      <w:spacing w:before="50" w:after="50"/>
      <w:outlineLvl w:val="3"/>
    </w:pPr>
  </w:style>
  <w:style w:type="paragraph" w:customStyle="1" w:styleId="19">
    <w:name w:val="一级条标题"/>
    <w:next w:val="1"/>
    <w:qFormat/>
    <w:uiPriority w:val="0"/>
    <w:pPr>
      <w:numPr>
        <w:ilvl w:val="1"/>
        <w:numId w:val="1"/>
      </w:numPr>
      <w:spacing w:beforeLines="50" w:afterLines="50"/>
      <w:ind w:left="0"/>
      <w:outlineLvl w:val="2"/>
    </w:pPr>
    <w:rPr>
      <w:rFonts w:ascii="黑体" w:hAnsi="Times New Roman" w:eastAsia="黑体" w:cs="Times New Roman"/>
      <w:sz w:val="21"/>
      <w:szCs w:val="21"/>
      <w:lang w:val="en-US" w:eastAsia="zh-CN" w:bidi="ar-SA"/>
    </w:rPr>
  </w:style>
  <w:style w:type="paragraph" w:customStyle="1" w:styleId="20">
    <w:name w:val="一级无"/>
    <w:basedOn w:val="19"/>
    <w:qFormat/>
    <w:uiPriority w:val="0"/>
    <w:pPr>
      <w:spacing w:beforeLines="0" w:afterLines="0"/>
    </w:pPr>
    <w:rPr>
      <w:rFonts w:ascii="宋体" w:eastAsia="宋体"/>
    </w:rPr>
  </w:style>
  <w:style w:type="character" w:customStyle="1" w:styleId="21">
    <w:name w:val="段 Char"/>
    <w:basedOn w:val="12"/>
    <w:qFormat/>
    <w:uiPriority w:val="0"/>
    <w:rPr>
      <w:rFonts w:hint="eastAsia" w:ascii="宋体" w:hAnsi="宋体" w:eastAsia="宋体" w:cs="宋体"/>
      <w:sz w:val="21"/>
    </w:rPr>
  </w:style>
  <w:style w:type="paragraph" w:customStyle="1" w:styleId="22">
    <w:name w:val="字母编号列项（一级）"/>
    <w:basedOn w:val="1"/>
    <w:qFormat/>
    <w:uiPriority w:val="0"/>
    <w:pPr>
      <w:widowControl/>
      <w:numPr>
        <w:ilvl w:val="0"/>
        <w:numId w:val="2"/>
      </w:numPr>
      <w:jc w:val="both"/>
    </w:pPr>
    <w:rPr>
      <w:rFonts w:hint="eastAsia" w:ascii="宋体"/>
      <w:sz w:val="21"/>
      <w:szCs w:val="20"/>
      <w:lang w:eastAsia="zh-CN"/>
    </w:rPr>
  </w:style>
  <w:style w:type="character" w:customStyle="1" w:styleId="23">
    <w:name w:val="日期 字符"/>
    <w:basedOn w:val="12"/>
    <w:link w:val="5"/>
    <w:qFormat/>
    <w:uiPriority w:val="0"/>
    <w:rPr>
      <w:sz w:val="24"/>
      <w:szCs w:val="24"/>
      <w:lang w:eastAsia="en-US"/>
    </w:rPr>
  </w:style>
  <w:style w:type="paragraph" w:customStyle="1" w:styleId="24">
    <w:name w:val="注："/>
    <w:next w:val="16"/>
    <w:qFormat/>
    <w:uiPriority w:val="0"/>
    <w:pPr>
      <w:widowControl w:val="0"/>
      <w:numPr>
        <w:ilvl w:val="0"/>
        <w:numId w:val="3"/>
      </w:numPr>
      <w:autoSpaceDE w:val="0"/>
      <w:autoSpaceDN w:val="0"/>
      <w:ind w:left="726" w:hanging="363"/>
      <w:jc w:val="both"/>
    </w:pPr>
    <w:rPr>
      <w:rFonts w:ascii="宋体" w:hAnsi="Times New Roman" w:eastAsia="宋体" w:cs="Times New Roman"/>
      <w:sz w:val="18"/>
      <w:szCs w:val="18"/>
      <w:lang w:val="en-US" w:eastAsia="zh-CN" w:bidi="ar-SA"/>
    </w:rPr>
  </w:style>
  <w:style w:type="paragraph" w:customStyle="1" w:styleId="25">
    <w:name w:val="注×："/>
    <w:qFormat/>
    <w:uiPriority w:val="0"/>
    <w:pPr>
      <w:widowControl w:val="0"/>
      <w:autoSpaceDE w:val="0"/>
      <w:autoSpaceDN w:val="0"/>
      <w:jc w:val="both"/>
    </w:pPr>
    <w:rPr>
      <w:rFonts w:ascii="宋体" w:hAnsi="Times New Roman" w:eastAsia="宋体" w:cs="Times New Roman"/>
      <w:sz w:val="18"/>
      <w:szCs w:val="18"/>
      <w:lang w:val="en-US" w:eastAsia="zh-CN" w:bidi="ar-SA"/>
    </w:rPr>
  </w:style>
  <w:style w:type="character" w:customStyle="1" w:styleId="26">
    <w:name w:val="批注框文本 字符"/>
    <w:basedOn w:val="12"/>
    <w:link w:val="6"/>
    <w:qFormat/>
    <w:uiPriority w:val="0"/>
    <w:rPr>
      <w:sz w:val="18"/>
      <w:szCs w:val="18"/>
      <w:lang w:eastAsia="en-US"/>
    </w:rPr>
  </w:style>
  <w:style w:type="paragraph" w:customStyle="1" w:styleId="27">
    <w:name w:val="章标题"/>
    <w:next w:val="16"/>
    <w:qFormat/>
    <w:uiPriority w:val="0"/>
    <w:pPr>
      <w:spacing w:beforeLines="100" w:afterLines="100"/>
      <w:jc w:val="both"/>
      <w:outlineLvl w:val="1"/>
    </w:pPr>
    <w:rPr>
      <w:rFonts w:ascii="黑体" w:hAnsi="Times New Roman" w:eastAsia="黑体" w:cs="Times New Roman"/>
      <w:sz w:val="21"/>
      <w:lang w:val="en-US" w:eastAsia="zh-CN" w:bidi="ar-SA"/>
    </w:rPr>
  </w:style>
  <w:style w:type="paragraph" w:customStyle="1" w:styleId="28">
    <w:name w:val="三级条标题"/>
    <w:basedOn w:val="18"/>
    <w:next w:val="16"/>
    <w:qFormat/>
    <w:uiPriority w:val="0"/>
    <w:pPr>
      <w:numPr>
        <w:ilvl w:val="0"/>
        <w:numId w:val="0"/>
      </w:numPr>
      <w:outlineLvl w:val="4"/>
    </w:pPr>
  </w:style>
  <w:style w:type="paragraph" w:customStyle="1" w:styleId="29">
    <w:name w:val="四级条标题"/>
    <w:basedOn w:val="28"/>
    <w:next w:val="16"/>
    <w:qFormat/>
    <w:uiPriority w:val="0"/>
    <w:pPr>
      <w:outlineLvl w:val="5"/>
    </w:pPr>
  </w:style>
  <w:style w:type="paragraph" w:customStyle="1" w:styleId="30">
    <w:name w:val="五级条标题"/>
    <w:basedOn w:val="29"/>
    <w:next w:val="16"/>
    <w:qFormat/>
    <w:uiPriority w:val="0"/>
    <w:pPr>
      <w:outlineLvl w:val="6"/>
    </w:pPr>
  </w:style>
  <w:style w:type="paragraph" w:styleId="31">
    <w:name w:val="List Paragraph"/>
    <w:basedOn w:val="1"/>
    <w:unhideWhenUsed/>
    <w:qFormat/>
    <w:uiPriority w:val="34"/>
    <w:pPr>
      <w:ind w:firstLine="420" w:firstLineChars="200"/>
    </w:pPr>
  </w:style>
  <w:style w:type="paragraph" w:customStyle="1" w:styleId="32">
    <w:name w:val="正文表标题"/>
    <w:next w:val="16"/>
    <w:qFormat/>
    <w:uiPriority w:val="0"/>
    <w:pPr>
      <w:tabs>
        <w:tab w:val="left" w:pos="720"/>
      </w:tabs>
      <w:spacing w:beforeLines="50" w:afterLines="50"/>
      <w:ind w:left="720" w:hanging="720"/>
      <w:jc w:val="center"/>
    </w:pPr>
    <w:rPr>
      <w:rFonts w:ascii="黑体" w:hAnsi="Times New Roman" w:eastAsia="黑体" w:cs="Times New Roman"/>
      <w:sz w:val="21"/>
      <w:lang w:val="en-US" w:eastAsia="zh-CN" w:bidi="ar-SA"/>
    </w:rPr>
  </w:style>
  <w:style w:type="paragraph" w:customStyle="1" w:styleId="33">
    <w:name w:val="正文图标题"/>
    <w:next w:val="16"/>
    <w:qFormat/>
    <w:uiPriority w:val="0"/>
    <w:pPr>
      <w:numPr>
        <w:ilvl w:val="0"/>
        <w:numId w:val="4"/>
      </w:numPr>
      <w:tabs>
        <w:tab w:val="left" w:pos="360"/>
      </w:tabs>
      <w:spacing w:beforeLines="50" w:afterLines="50"/>
      <w:jc w:val="center"/>
    </w:pPr>
    <w:rPr>
      <w:rFonts w:ascii="黑体" w:hAnsi="Times New Roman" w:eastAsia="黑体" w:cs="Times New Roman"/>
      <w:sz w:val="21"/>
      <w:lang w:val="en-US" w:eastAsia="zh-CN" w:bidi="ar-SA"/>
    </w:rPr>
  </w:style>
  <w:style w:type="paragraph" w:customStyle="1" w:styleId="34">
    <w:name w:val="其他发布日期"/>
    <w:basedOn w:val="1"/>
    <w:qFormat/>
    <w:uiPriority w:val="0"/>
    <w:pPr>
      <w:framePr w:w="3997" w:h="471" w:hRule="exact" w:vSpace="181" w:wrap="around" w:vAnchor="page" w:hAnchor="page" w:x="1419" w:y="14097" w:anchorLock="1"/>
      <w:widowControl/>
      <w:numPr>
        <w:ilvl w:val="0"/>
        <w:numId w:val="5"/>
      </w:numPr>
      <w:autoSpaceDE/>
      <w:autoSpaceDN/>
    </w:pPr>
    <w:rPr>
      <w:rFonts w:eastAsia="黑体"/>
      <w:sz w:val="28"/>
      <w:szCs w:val="20"/>
      <w:lang w:eastAsia="zh-CN"/>
    </w:rPr>
  </w:style>
  <w:style w:type="character" w:customStyle="1" w:styleId="35">
    <w:name w:val="未处理的提及1"/>
    <w:basedOn w:val="12"/>
    <w:semiHidden/>
    <w:unhideWhenUsed/>
    <w:qFormat/>
    <w:uiPriority w:val="99"/>
    <w:rPr>
      <w:color w:val="605E5C"/>
      <w:shd w:val="clear" w:color="auto" w:fill="E1DFDD"/>
    </w:rPr>
  </w:style>
  <w:style w:type="character" w:customStyle="1" w:styleId="36">
    <w:name w:val="bjh-p"/>
    <w:basedOn w:val="12"/>
    <w:qFormat/>
    <w:uiPriority w:val="0"/>
  </w:style>
  <w:style w:type="character" w:customStyle="1" w:styleId="37">
    <w:name w:val="Unresolved Mention"/>
    <w:basedOn w:val="12"/>
    <w:semiHidden/>
    <w:unhideWhenUsed/>
    <w:qFormat/>
    <w:uiPriority w:val="99"/>
    <w:rPr>
      <w:color w:val="605E5C"/>
      <w:shd w:val="clear" w:color="auto" w:fill="E1DFDD"/>
    </w:rPr>
  </w:style>
  <w:style w:type="paragraph" w:customStyle="1" w:styleId="38">
    <w:name w:val="标准文件_段"/>
    <w:qFormat/>
    <w:uiPriority w:val="0"/>
    <w:pPr>
      <w:ind w:firstLine="198" w:firstLineChars="200"/>
      <w:jc w:val="both"/>
    </w:pPr>
    <w:rPr>
      <w:rFonts w:ascii="宋体" w:hAnsi="Times New Roman" w:eastAsia="宋体" w:cstheme="minorBidi"/>
      <w:sz w:val="21"/>
      <w:lang w:val="en-US" w:eastAsia="zh-CN" w:bidi="ar-SA"/>
    </w:rPr>
  </w:style>
  <w:style w:type="paragraph" w:customStyle="1" w:styleId="39">
    <w:name w:val="标准文件_二级无标题"/>
    <w:basedOn w:val="40"/>
    <w:qFormat/>
    <w:uiPriority w:val="0"/>
    <w:pPr>
      <w:spacing w:beforeLines="0" w:afterLines="0"/>
      <w:outlineLvl w:val="9"/>
    </w:pPr>
    <w:rPr>
      <w:rFonts w:ascii="宋体" w:hAnsi="宋体" w:eastAsia="宋体"/>
      <w:kern w:val="2"/>
      <w:szCs w:val="22"/>
    </w:rPr>
  </w:style>
  <w:style w:type="paragraph" w:customStyle="1" w:styleId="40">
    <w:name w:val="标准文件_二级条标题"/>
    <w:next w:val="38"/>
    <w:qFormat/>
    <w:uiPriority w:val="0"/>
    <w:pPr>
      <w:numPr>
        <w:ilvl w:val="2"/>
        <w:numId w:val="6"/>
      </w:numPr>
      <w:spacing w:beforeLines="50" w:afterLines="50"/>
      <w:jc w:val="both"/>
      <w:outlineLvl w:val="2"/>
    </w:pPr>
    <w:rPr>
      <w:rFonts w:ascii="黑体" w:hAnsi="黑体" w:eastAsia="黑体" w:cstheme="minorBidi"/>
      <w:sz w:val="21"/>
      <w:lang w:val="en-US" w:eastAsia="zh-CN"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市质量技术监督局</Company>
  <Pages>13</Pages>
  <Words>944</Words>
  <Characters>5386</Characters>
  <Lines>44</Lines>
  <Paragraphs>12</Paragraphs>
  <TotalTime>0</TotalTime>
  <ScaleCrop>false</ScaleCrop>
  <LinksUpToDate>false</LinksUpToDate>
  <CharactersWithSpaces>6318</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2021-12-14T09:22:00Z</dcterms:created>
  <dc:creator>Jeff-Z</dc:creator>
  <cp:lastModifiedBy>Administrator</cp:lastModifiedBy>
  <cp:lastPrinted>2024-04-25T10:29:00Z</cp:lastPrinted>
  <dcterms:modified xsi:type="dcterms:W3CDTF">2024-06-19T14:41:05Z</dcterms:modified>
  <cp:revision>542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58E2C60B6A4440A4911CC6E76CA0E142</vt:lpwstr>
  </property>
</Properties>
</file>